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2F57" w14:textId="77777777" w:rsidR="00CE4D03" w:rsidRDefault="00CE4D03">
      <w:pPr>
        <w:pStyle w:val="Heading2"/>
      </w:pPr>
      <w:bookmarkStart w:id="0" w:name="_GoBack"/>
      <w:bookmarkEnd w:id="0"/>
    </w:p>
    <w:p w14:paraId="1E9B26A0" w14:textId="77777777" w:rsidR="00CE4D03" w:rsidRPr="00963CE9" w:rsidRDefault="00CE4D03">
      <w:pPr>
        <w:pStyle w:val="Heading2"/>
        <w:rPr>
          <w:sz w:val="22"/>
        </w:rPr>
      </w:pPr>
      <w:r w:rsidRPr="001D5B31">
        <w:rPr>
          <w:szCs w:val="20"/>
        </w:rPr>
        <w:t>MEETING OF</w:t>
      </w:r>
      <w:r w:rsidRPr="00963CE9">
        <w:rPr>
          <w:sz w:val="22"/>
        </w:rPr>
        <w:tab/>
      </w:r>
      <w:r w:rsidRPr="001D5B31">
        <w:rPr>
          <w:sz w:val="24"/>
        </w:rPr>
        <w:t>RESOURCES COMMITTEE</w:t>
      </w:r>
      <w:r w:rsidRPr="001D5B31">
        <w:rPr>
          <w:sz w:val="24"/>
        </w:rPr>
        <w:tab/>
      </w:r>
    </w:p>
    <w:p w14:paraId="41259214" w14:textId="77777777" w:rsidR="00CE4D03" w:rsidRPr="00963CE9" w:rsidRDefault="00CE4D03" w:rsidP="002D6FCB">
      <w:pPr>
        <w:jc w:val="right"/>
        <w:rPr>
          <w:b/>
          <w:bCs/>
          <w:sz w:val="22"/>
        </w:rPr>
      </w:pPr>
    </w:p>
    <w:p w14:paraId="1CED61FD" w14:textId="105F271A" w:rsidR="00DE68A9" w:rsidRPr="00963CE9" w:rsidRDefault="009D3454">
      <w:pPr>
        <w:rPr>
          <w:b/>
          <w:bCs/>
          <w:sz w:val="22"/>
        </w:rPr>
      </w:pPr>
      <w:r w:rsidRPr="001D5B31">
        <w:rPr>
          <w:b/>
          <w:bCs/>
          <w:sz w:val="20"/>
          <w:szCs w:val="20"/>
        </w:rPr>
        <w:t>TIME/DATE</w:t>
      </w:r>
      <w:r w:rsidRPr="00963CE9">
        <w:rPr>
          <w:b/>
          <w:bCs/>
          <w:sz w:val="22"/>
        </w:rPr>
        <w:t xml:space="preserve"> </w:t>
      </w:r>
      <w:r w:rsidRPr="00963CE9">
        <w:rPr>
          <w:b/>
          <w:bCs/>
          <w:sz w:val="22"/>
        </w:rPr>
        <w:tab/>
      </w:r>
      <w:r w:rsidR="003634C7">
        <w:rPr>
          <w:b/>
          <w:bCs/>
          <w:sz w:val="22"/>
        </w:rPr>
        <w:t>5.00pm</w:t>
      </w:r>
      <w:r w:rsidR="00D042B2" w:rsidRPr="00963CE9">
        <w:rPr>
          <w:b/>
          <w:bCs/>
          <w:sz w:val="22"/>
        </w:rPr>
        <w:t xml:space="preserve"> </w:t>
      </w:r>
      <w:r w:rsidR="00827672">
        <w:rPr>
          <w:b/>
          <w:bCs/>
          <w:sz w:val="22"/>
        </w:rPr>
        <w:t xml:space="preserve">Thursday </w:t>
      </w:r>
      <w:r w:rsidR="00A07811">
        <w:rPr>
          <w:b/>
          <w:bCs/>
          <w:sz w:val="22"/>
        </w:rPr>
        <w:t>13</w:t>
      </w:r>
      <w:r w:rsidR="00A730ED" w:rsidRPr="00A730ED">
        <w:rPr>
          <w:b/>
          <w:bCs/>
          <w:sz w:val="22"/>
          <w:vertAlign w:val="superscript"/>
        </w:rPr>
        <w:t>th</w:t>
      </w:r>
      <w:r w:rsidR="00A730ED">
        <w:rPr>
          <w:b/>
          <w:bCs/>
          <w:sz w:val="22"/>
        </w:rPr>
        <w:t xml:space="preserve"> </w:t>
      </w:r>
      <w:r w:rsidR="00A07811">
        <w:rPr>
          <w:b/>
          <w:bCs/>
          <w:sz w:val="22"/>
        </w:rPr>
        <w:t>June</w:t>
      </w:r>
      <w:r w:rsidR="00A730ED">
        <w:rPr>
          <w:b/>
          <w:bCs/>
          <w:sz w:val="22"/>
        </w:rPr>
        <w:t xml:space="preserve"> 2019</w:t>
      </w:r>
    </w:p>
    <w:p w14:paraId="59D4F270" w14:textId="4DA17799" w:rsidR="00696487" w:rsidRDefault="00B34E31" w:rsidP="00696487">
      <w:pPr>
        <w:rPr>
          <w:b/>
          <w:bCs/>
          <w:sz w:val="22"/>
        </w:rPr>
      </w:pPr>
      <w:r w:rsidRPr="001D5B31">
        <w:rPr>
          <w:b/>
          <w:bCs/>
          <w:sz w:val="20"/>
          <w:szCs w:val="20"/>
        </w:rPr>
        <w:t>VENUE</w:t>
      </w:r>
      <w:r w:rsidR="00DD0102">
        <w:rPr>
          <w:b/>
          <w:bCs/>
          <w:sz w:val="20"/>
          <w:szCs w:val="20"/>
        </w:rPr>
        <w:t xml:space="preserve"> </w:t>
      </w:r>
      <w:r>
        <w:rPr>
          <w:b/>
          <w:bCs/>
          <w:sz w:val="22"/>
        </w:rPr>
        <w:tab/>
      </w:r>
      <w:r w:rsidR="0093520D">
        <w:rPr>
          <w:b/>
          <w:bCs/>
          <w:sz w:val="22"/>
        </w:rPr>
        <w:t>Gateway Boardroom,</w:t>
      </w:r>
      <w:r w:rsidR="0093520D" w:rsidRPr="00963CE9">
        <w:rPr>
          <w:b/>
          <w:bCs/>
          <w:sz w:val="22"/>
        </w:rPr>
        <w:t xml:space="preserve"> </w:t>
      </w:r>
      <w:r w:rsidR="0093520D">
        <w:rPr>
          <w:b/>
          <w:bCs/>
          <w:sz w:val="22"/>
        </w:rPr>
        <w:t>Parson’s Walk</w:t>
      </w:r>
      <w:r w:rsidR="0093520D" w:rsidRPr="00963CE9">
        <w:rPr>
          <w:b/>
          <w:bCs/>
          <w:sz w:val="22"/>
        </w:rPr>
        <w:t xml:space="preserve">, </w:t>
      </w:r>
      <w:r w:rsidR="0093520D">
        <w:rPr>
          <w:b/>
          <w:bCs/>
          <w:sz w:val="22"/>
        </w:rPr>
        <w:t xml:space="preserve">Wigan </w:t>
      </w:r>
    </w:p>
    <w:p w14:paraId="5965901F" w14:textId="77777777" w:rsidR="0093520D" w:rsidRDefault="0093520D" w:rsidP="0093520D"/>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245"/>
        <w:gridCol w:w="4009"/>
        <w:gridCol w:w="1059"/>
      </w:tblGrid>
      <w:tr w:rsidR="0093520D" w14:paraId="30867BF9" w14:textId="77777777" w:rsidTr="000C58E0">
        <w:trPr>
          <w:gridBefore w:val="1"/>
          <w:gridAfter w:val="1"/>
          <w:wBefore w:w="709" w:type="dxa"/>
          <w:wAfter w:w="1059" w:type="dxa"/>
        </w:trPr>
        <w:tc>
          <w:tcPr>
            <w:tcW w:w="5245" w:type="dxa"/>
          </w:tcPr>
          <w:p w14:paraId="2856E282" w14:textId="77777777" w:rsidR="0093520D" w:rsidRPr="005B743F" w:rsidRDefault="0093520D" w:rsidP="00F64F2C">
            <w:pPr>
              <w:rPr>
                <w:sz w:val="22"/>
                <w:szCs w:val="22"/>
              </w:rPr>
            </w:pPr>
            <w:r w:rsidRPr="005B743F">
              <w:rPr>
                <w:sz w:val="22"/>
                <w:szCs w:val="22"/>
              </w:rPr>
              <w:t>Committee Members</w:t>
            </w:r>
            <w:r w:rsidRPr="005B743F">
              <w:rPr>
                <w:sz w:val="22"/>
                <w:szCs w:val="22"/>
              </w:rPr>
              <w:tab/>
            </w:r>
          </w:p>
        </w:tc>
        <w:tc>
          <w:tcPr>
            <w:tcW w:w="4009" w:type="dxa"/>
          </w:tcPr>
          <w:p w14:paraId="283C68A0" w14:textId="01F8B751" w:rsidR="0093520D" w:rsidRPr="003265E5" w:rsidRDefault="0093520D" w:rsidP="00F64F2C">
            <w:pPr>
              <w:pStyle w:val="Heading2"/>
              <w:tabs>
                <w:tab w:val="left" w:pos="1440"/>
              </w:tabs>
              <w:rPr>
                <w:b w:val="0"/>
                <w:i/>
                <w:sz w:val="22"/>
                <w:szCs w:val="22"/>
              </w:rPr>
            </w:pPr>
            <w:r w:rsidRPr="003265E5">
              <w:rPr>
                <w:b w:val="0"/>
                <w:i/>
                <w:sz w:val="22"/>
                <w:szCs w:val="22"/>
              </w:rPr>
              <w:t>Kathryn Causey</w:t>
            </w:r>
          </w:p>
        </w:tc>
      </w:tr>
      <w:tr w:rsidR="0093520D" w14:paraId="12F278D9" w14:textId="77777777" w:rsidTr="000C58E0">
        <w:trPr>
          <w:gridBefore w:val="1"/>
          <w:gridAfter w:val="1"/>
          <w:wBefore w:w="709" w:type="dxa"/>
          <w:wAfter w:w="1059" w:type="dxa"/>
        </w:trPr>
        <w:tc>
          <w:tcPr>
            <w:tcW w:w="5245" w:type="dxa"/>
          </w:tcPr>
          <w:p w14:paraId="324EBBA0" w14:textId="77777777" w:rsidR="0093520D" w:rsidRPr="005B743F" w:rsidRDefault="0093520D" w:rsidP="00F64F2C">
            <w:pPr>
              <w:rPr>
                <w:sz w:val="22"/>
                <w:szCs w:val="22"/>
              </w:rPr>
            </w:pPr>
          </w:p>
        </w:tc>
        <w:tc>
          <w:tcPr>
            <w:tcW w:w="4009" w:type="dxa"/>
          </w:tcPr>
          <w:p w14:paraId="1180BD7F" w14:textId="6BEBC8CC" w:rsidR="0093520D" w:rsidRPr="005B743F" w:rsidRDefault="0093520D" w:rsidP="00F64F2C">
            <w:pPr>
              <w:rPr>
                <w:sz w:val="22"/>
                <w:szCs w:val="22"/>
              </w:rPr>
            </w:pPr>
            <w:r>
              <w:rPr>
                <w:sz w:val="22"/>
                <w:szCs w:val="22"/>
              </w:rPr>
              <w:t>Diane Brennan</w:t>
            </w:r>
            <w:r w:rsidR="00920462">
              <w:rPr>
                <w:sz w:val="22"/>
                <w:szCs w:val="22"/>
              </w:rPr>
              <w:t xml:space="preserve"> (Chair)</w:t>
            </w:r>
          </w:p>
        </w:tc>
      </w:tr>
      <w:tr w:rsidR="0093520D" w14:paraId="5767717D" w14:textId="77777777" w:rsidTr="000C58E0">
        <w:trPr>
          <w:gridBefore w:val="1"/>
          <w:gridAfter w:val="1"/>
          <w:wBefore w:w="709" w:type="dxa"/>
          <w:wAfter w:w="1059" w:type="dxa"/>
        </w:trPr>
        <w:tc>
          <w:tcPr>
            <w:tcW w:w="5245" w:type="dxa"/>
          </w:tcPr>
          <w:p w14:paraId="7B12C9C9" w14:textId="77777777" w:rsidR="0093520D" w:rsidRPr="005B743F" w:rsidRDefault="0093520D" w:rsidP="00F64F2C">
            <w:pPr>
              <w:rPr>
                <w:sz w:val="22"/>
                <w:szCs w:val="22"/>
              </w:rPr>
            </w:pPr>
          </w:p>
        </w:tc>
        <w:tc>
          <w:tcPr>
            <w:tcW w:w="4009" w:type="dxa"/>
          </w:tcPr>
          <w:p w14:paraId="1AD423A0" w14:textId="77777777" w:rsidR="0093520D" w:rsidRPr="005B743F" w:rsidRDefault="0093520D" w:rsidP="0093520D">
            <w:pPr>
              <w:rPr>
                <w:sz w:val="22"/>
                <w:szCs w:val="22"/>
              </w:rPr>
            </w:pPr>
            <w:r w:rsidRPr="005B743F">
              <w:rPr>
                <w:sz w:val="22"/>
                <w:szCs w:val="22"/>
              </w:rPr>
              <w:t xml:space="preserve">Susan </w:t>
            </w:r>
            <w:r>
              <w:rPr>
                <w:sz w:val="22"/>
                <w:szCs w:val="22"/>
              </w:rPr>
              <w:t>Spibey</w:t>
            </w:r>
          </w:p>
        </w:tc>
      </w:tr>
      <w:tr w:rsidR="0093520D" w14:paraId="2BFE657C" w14:textId="77777777" w:rsidTr="000C58E0">
        <w:trPr>
          <w:gridBefore w:val="1"/>
          <w:gridAfter w:val="1"/>
          <w:wBefore w:w="709" w:type="dxa"/>
          <w:wAfter w:w="1059" w:type="dxa"/>
        </w:trPr>
        <w:tc>
          <w:tcPr>
            <w:tcW w:w="5245" w:type="dxa"/>
          </w:tcPr>
          <w:p w14:paraId="3679A360" w14:textId="77777777" w:rsidR="0093520D" w:rsidRPr="005B743F" w:rsidRDefault="0093520D" w:rsidP="00F64F2C">
            <w:pPr>
              <w:rPr>
                <w:sz w:val="22"/>
                <w:szCs w:val="22"/>
              </w:rPr>
            </w:pPr>
          </w:p>
        </w:tc>
        <w:tc>
          <w:tcPr>
            <w:tcW w:w="4009" w:type="dxa"/>
          </w:tcPr>
          <w:p w14:paraId="737D60FB" w14:textId="77777777" w:rsidR="0093520D" w:rsidRPr="005B743F" w:rsidRDefault="0093520D" w:rsidP="0093520D">
            <w:pPr>
              <w:rPr>
                <w:sz w:val="22"/>
                <w:szCs w:val="22"/>
              </w:rPr>
            </w:pPr>
            <w:r>
              <w:rPr>
                <w:sz w:val="22"/>
                <w:szCs w:val="22"/>
              </w:rPr>
              <w:t xml:space="preserve">Michael Ferraby </w:t>
            </w:r>
          </w:p>
        </w:tc>
      </w:tr>
      <w:tr w:rsidR="00D86405" w14:paraId="5E171169" w14:textId="77777777" w:rsidTr="000C58E0">
        <w:trPr>
          <w:gridBefore w:val="1"/>
          <w:gridAfter w:val="1"/>
          <w:wBefore w:w="709" w:type="dxa"/>
          <w:wAfter w:w="1059" w:type="dxa"/>
        </w:trPr>
        <w:tc>
          <w:tcPr>
            <w:tcW w:w="5245" w:type="dxa"/>
          </w:tcPr>
          <w:p w14:paraId="51790BC8" w14:textId="77777777" w:rsidR="00D86405" w:rsidRPr="005B743F" w:rsidRDefault="00D86405" w:rsidP="00F64F2C">
            <w:pPr>
              <w:rPr>
                <w:sz w:val="22"/>
                <w:szCs w:val="22"/>
              </w:rPr>
            </w:pPr>
          </w:p>
        </w:tc>
        <w:tc>
          <w:tcPr>
            <w:tcW w:w="4009" w:type="dxa"/>
          </w:tcPr>
          <w:p w14:paraId="2BC5CB5A" w14:textId="3D52206A" w:rsidR="00D86405" w:rsidRPr="00893358" w:rsidRDefault="00D86405" w:rsidP="0093520D">
            <w:pPr>
              <w:rPr>
                <w:i/>
                <w:sz w:val="22"/>
                <w:szCs w:val="22"/>
              </w:rPr>
            </w:pPr>
            <w:r w:rsidRPr="00893358">
              <w:rPr>
                <w:i/>
                <w:sz w:val="22"/>
                <w:szCs w:val="22"/>
              </w:rPr>
              <w:t>Je</w:t>
            </w:r>
            <w:r w:rsidR="003478AC" w:rsidRPr="00893358">
              <w:rPr>
                <w:i/>
                <w:sz w:val="22"/>
                <w:szCs w:val="22"/>
              </w:rPr>
              <w:t>n</w:t>
            </w:r>
            <w:r w:rsidRPr="00893358">
              <w:rPr>
                <w:i/>
                <w:sz w:val="22"/>
                <w:szCs w:val="22"/>
              </w:rPr>
              <w:t>nifer Cockram</w:t>
            </w:r>
          </w:p>
        </w:tc>
      </w:tr>
      <w:tr w:rsidR="0093520D" w14:paraId="649C15D9" w14:textId="77777777" w:rsidTr="000C58E0">
        <w:trPr>
          <w:gridBefore w:val="1"/>
          <w:gridAfter w:val="1"/>
          <w:wBefore w:w="709" w:type="dxa"/>
          <w:wAfter w:w="1059" w:type="dxa"/>
        </w:trPr>
        <w:tc>
          <w:tcPr>
            <w:tcW w:w="5245" w:type="dxa"/>
          </w:tcPr>
          <w:p w14:paraId="598819E4" w14:textId="77777777" w:rsidR="0093520D" w:rsidRPr="005B743F" w:rsidRDefault="0093520D" w:rsidP="00F64F2C">
            <w:pPr>
              <w:rPr>
                <w:sz w:val="22"/>
                <w:szCs w:val="22"/>
              </w:rPr>
            </w:pPr>
          </w:p>
        </w:tc>
        <w:tc>
          <w:tcPr>
            <w:tcW w:w="4009" w:type="dxa"/>
          </w:tcPr>
          <w:p w14:paraId="5556237B" w14:textId="77777777" w:rsidR="0093520D" w:rsidRPr="005B743F" w:rsidRDefault="0093520D" w:rsidP="00F64F2C">
            <w:pPr>
              <w:rPr>
                <w:sz w:val="22"/>
                <w:szCs w:val="22"/>
              </w:rPr>
            </w:pPr>
          </w:p>
        </w:tc>
      </w:tr>
      <w:tr w:rsidR="0093520D" w14:paraId="672145A4" w14:textId="77777777" w:rsidTr="000C58E0">
        <w:trPr>
          <w:gridBefore w:val="1"/>
          <w:gridAfter w:val="1"/>
          <w:wBefore w:w="709" w:type="dxa"/>
          <w:wAfter w:w="1059" w:type="dxa"/>
        </w:trPr>
        <w:tc>
          <w:tcPr>
            <w:tcW w:w="5245" w:type="dxa"/>
          </w:tcPr>
          <w:p w14:paraId="52FF22D0" w14:textId="77777777" w:rsidR="0093520D" w:rsidRPr="005B743F" w:rsidRDefault="0093520D" w:rsidP="00F64F2C">
            <w:pPr>
              <w:rPr>
                <w:sz w:val="22"/>
                <w:szCs w:val="22"/>
              </w:rPr>
            </w:pPr>
            <w:r>
              <w:rPr>
                <w:sz w:val="22"/>
                <w:szCs w:val="22"/>
              </w:rPr>
              <w:t>Principal</w:t>
            </w:r>
          </w:p>
        </w:tc>
        <w:tc>
          <w:tcPr>
            <w:tcW w:w="4009" w:type="dxa"/>
          </w:tcPr>
          <w:p w14:paraId="20E75E81" w14:textId="77777777" w:rsidR="0093520D" w:rsidRPr="005B743F" w:rsidRDefault="0093520D" w:rsidP="00F64F2C">
            <w:pPr>
              <w:rPr>
                <w:sz w:val="22"/>
                <w:szCs w:val="22"/>
              </w:rPr>
            </w:pPr>
            <w:r>
              <w:rPr>
                <w:sz w:val="22"/>
                <w:szCs w:val="22"/>
              </w:rPr>
              <w:t>Anna Dawe</w:t>
            </w:r>
          </w:p>
        </w:tc>
      </w:tr>
      <w:tr w:rsidR="0093520D" w14:paraId="0D718A5E" w14:textId="77777777" w:rsidTr="000C58E0">
        <w:trPr>
          <w:gridBefore w:val="1"/>
          <w:gridAfter w:val="1"/>
          <w:wBefore w:w="709" w:type="dxa"/>
          <w:wAfter w:w="1059" w:type="dxa"/>
        </w:trPr>
        <w:tc>
          <w:tcPr>
            <w:tcW w:w="5245" w:type="dxa"/>
          </w:tcPr>
          <w:p w14:paraId="02798910" w14:textId="77777777" w:rsidR="0093520D" w:rsidRPr="005B743F" w:rsidRDefault="0093520D" w:rsidP="00F64F2C">
            <w:pPr>
              <w:rPr>
                <w:sz w:val="22"/>
                <w:szCs w:val="22"/>
              </w:rPr>
            </w:pPr>
          </w:p>
        </w:tc>
        <w:tc>
          <w:tcPr>
            <w:tcW w:w="4009" w:type="dxa"/>
          </w:tcPr>
          <w:p w14:paraId="0B8BCE2F" w14:textId="77777777" w:rsidR="0093520D" w:rsidRPr="005B743F" w:rsidRDefault="0093520D" w:rsidP="00F64F2C">
            <w:pPr>
              <w:rPr>
                <w:sz w:val="22"/>
                <w:szCs w:val="22"/>
              </w:rPr>
            </w:pPr>
          </w:p>
        </w:tc>
      </w:tr>
      <w:tr w:rsidR="0093520D" w14:paraId="51C839FF" w14:textId="77777777" w:rsidTr="000C58E0">
        <w:trPr>
          <w:gridBefore w:val="1"/>
          <w:gridAfter w:val="1"/>
          <w:wBefore w:w="709" w:type="dxa"/>
          <w:wAfter w:w="1059" w:type="dxa"/>
        </w:trPr>
        <w:tc>
          <w:tcPr>
            <w:tcW w:w="5245" w:type="dxa"/>
          </w:tcPr>
          <w:p w14:paraId="57D5DF7A" w14:textId="77777777" w:rsidR="0093520D" w:rsidRPr="005B743F" w:rsidRDefault="0093520D" w:rsidP="00F64F2C">
            <w:pPr>
              <w:rPr>
                <w:sz w:val="22"/>
                <w:szCs w:val="22"/>
              </w:rPr>
            </w:pPr>
            <w:r w:rsidRPr="005B743F">
              <w:rPr>
                <w:sz w:val="22"/>
                <w:szCs w:val="22"/>
              </w:rPr>
              <w:t>Clerk</w:t>
            </w:r>
          </w:p>
        </w:tc>
        <w:tc>
          <w:tcPr>
            <w:tcW w:w="4009" w:type="dxa"/>
          </w:tcPr>
          <w:p w14:paraId="42EB23C6" w14:textId="77777777" w:rsidR="0093520D" w:rsidRPr="005B743F" w:rsidRDefault="0093520D" w:rsidP="00F64F2C">
            <w:pPr>
              <w:rPr>
                <w:sz w:val="22"/>
                <w:szCs w:val="22"/>
              </w:rPr>
            </w:pPr>
            <w:r w:rsidRPr="005B743F">
              <w:rPr>
                <w:sz w:val="22"/>
                <w:szCs w:val="22"/>
              </w:rPr>
              <w:t>Robert Smith</w:t>
            </w:r>
          </w:p>
        </w:tc>
      </w:tr>
      <w:tr w:rsidR="0093520D" w14:paraId="36E7BBF2" w14:textId="77777777" w:rsidTr="000C58E0">
        <w:trPr>
          <w:gridBefore w:val="1"/>
          <w:gridAfter w:val="1"/>
          <w:wBefore w:w="709" w:type="dxa"/>
          <w:wAfter w:w="1059" w:type="dxa"/>
        </w:trPr>
        <w:tc>
          <w:tcPr>
            <w:tcW w:w="5245" w:type="dxa"/>
          </w:tcPr>
          <w:p w14:paraId="0965C807" w14:textId="77777777" w:rsidR="0093520D" w:rsidRPr="005B743F" w:rsidRDefault="0093520D" w:rsidP="00F64F2C">
            <w:pPr>
              <w:rPr>
                <w:sz w:val="22"/>
                <w:szCs w:val="22"/>
              </w:rPr>
            </w:pPr>
            <w:r w:rsidRPr="005B743F">
              <w:rPr>
                <w:sz w:val="22"/>
                <w:szCs w:val="22"/>
              </w:rPr>
              <w:t>Finance Director</w:t>
            </w:r>
          </w:p>
        </w:tc>
        <w:tc>
          <w:tcPr>
            <w:tcW w:w="4009" w:type="dxa"/>
          </w:tcPr>
          <w:p w14:paraId="20B76699" w14:textId="77777777" w:rsidR="0093520D" w:rsidRPr="005B743F" w:rsidRDefault="0093520D" w:rsidP="00F64F2C">
            <w:pPr>
              <w:rPr>
                <w:sz w:val="22"/>
                <w:szCs w:val="22"/>
              </w:rPr>
            </w:pPr>
            <w:r w:rsidRPr="005B743F">
              <w:rPr>
                <w:sz w:val="22"/>
                <w:szCs w:val="22"/>
              </w:rPr>
              <w:t>Steve Scott</w:t>
            </w:r>
          </w:p>
        </w:tc>
      </w:tr>
      <w:tr w:rsidR="0093520D" w14:paraId="1E1A41D9" w14:textId="77777777" w:rsidTr="000C58E0">
        <w:trPr>
          <w:gridBefore w:val="1"/>
          <w:gridAfter w:val="1"/>
          <w:wBefore w:w="709" w:type="dxa"/>
          <w:wAfter w:w="1059" w:type="dxa"/>
        </w:trPr>
        <w:tc>
          <w:tcPr>
            <w:tcW w:w="5245" w:type="dxa"/>
          </w:tcPr>
          <w:p w14:paraId="73220DE0" w14:textId="77777777" w:rsidR="0093520D" w:rsidRPr="005B743F" w:rsidRDefault="0093520D" w:rsidP="00F64F2C">
            <w:pPr>
              <w:rPr>
                <w:sz w:val="22"/>
                <w:szCs w:val="22"/>
              </w:rPr>
            </w:pPr>
            <w:r w:rsidRPr="005B743F">
              <w:rPr>
                <w:sz w:val="22"/>
                <w:szCs w:val="22"/>
              </w:rPr>
              <w:t>Vice Principal, Corporate Services</w:t>
            </w:r>
          </w:p>
        </w:tc>
        <w:tc>
          <w:tcPr>
            <w:tcW w:w="4009" w:type="dxa"/>
          </w:tcPr>
          <w:p w14:paraId="7C7B37D8" w14:textId="77777777" w:rsidR="0093520D" w:rsidRPr="005B743F" w:rsidRDefault="0093520D" w:rsidP="00F64F2C">
            <w:pPr>
              <w:rPr>
                <w:sz w:val="22"/>
                <w:szCs w:val="22"/>
              </w:rPr>
            </w:pPr>
            <w:r w:rsidRPr="005B743F">
              <w:rPr>
                <w:sz w:val="22"/>
                <w:szCs w:val="22"/>
              </w:rPr>
              <w:t>Louise Brown</w:t>
            </w:r>
          </w:p>
        </w:tc>
      </w:tr>
      <w:tr w:rsidR="0093520D" w14:paraId="50FE255F" w14:textId="77777777" w:rsidTr="000C58E0">
        <w:trPr>
          <w:gridBefore w:val="1"/>
          <w:gridAfter w:val="1"/>
          <w:wBefore w:w="709" w:type="dxa"/>
          <w:wAfter w:w="1059" w:type="dxa"/>
        </w:trPr>
        <w:tc>
          <w:tcPr>
            <w:tcW w:w="5245" w:type="dxa"/>
          </w:tcPr>
          <w:p w14:paraId="705CD65B" w14:textId="77777777" w:rsidR="0093520D" w:rsidRPr="005B743F" w:rsidRDefault="0093520D" w:rsidP="00F64F2C">
            <w:pPr>
              <w:rPr>
                <w:sz w:val="22"/>
                <w:szCs w:val="22"/>
              </w:rPr>
            </w:pPr>
            <w:r w:rsidRPr="005B743F">
              <w:rPr>
                <w:bCs/>
                <w:sz w:val="22"/>
                <w:szCs w:val="22"/>
              </w:rPr>
              <w:t>Assistant Principal IT, MIS and Subcontracting</w:t>
            </w:r>
          </w:p>
        </w:tc>
        <w:tc>
          <w:tcPr>
            <w:tcW w:w="4009" w:type="dxa"/>
          </w:tcPr>
          <w:p w14:paraId="34984790" w14:textId="77777777" w:rsidR="0093520D" w:rsidRPr="005B743F" w:rsidRDefault="0093520D" w:rsidP="00F64F2C">
            <w:pPr>
              <w:rPr>
                <w:sz w:val="22"/>
                <w:szCs w:val="22"/>
              </w:rPr>
            </w:pPr>
            <w:r w:rsidRPr="005B743F">
              <w:rPr>
                <w:sz w:val="22"/>
                <w:szCs w:val="22"/>
              </w:rPr>
              <w:t>Dave Harrison</w:t>
            </w:r>
          </w:p>
        </w:tc>
      </w:tr>
      <w:tr w:rsidR="0093520D" w14:paraId="103D1BD6" w14:textId="77777777" w:rsidTr="000C58E0">
        <w:trPr>
          <w:gridBefore w:val="1"/>
          <w:gridAfter w:val="1"/>
          <w:wBefore w:w="709" w:type="dxa"/>
          <w:wAfter w:w="1059" w:type="dxa"/>
        </w:trPr>
        <w:tc>
          <w:tcPr>
            <w:tcW w:w="5245" w:type="dxa"/>
          </w:tcPr>
          <w:p w14:paraId="40EC80FB" w14:textId="77777777" w:rsidR="0093520D" w:rsidRPr="005B743F" w:rsidRDefault="0093520D" w:rsidP="00F64F2C">
            <w:pPr>
              <w:rPr>
                <w:sz w:val="22"/>
                <w:szCs w:val="22"/>
              </w:rPr>
            </w:pPr>
          </w:p>
        </w:tc>
        <w:tc>
          <w:tcPr>
            <w:tcW w:w="4009" w:type="dxa"/>
          </w:tcPr>
          <w:p w14:paraId="4C1D045C" w14:textId="77777777" w:rsidR="0093520D" w:rsidRPr="005B743F" w:rsidRDefault="0093520D" w:rsidP="00F64F2C">
            <w:pPr>
              <w:rPr>
                <w:sz w:val="22"/>
                <w:szCs w:val="22"/>
              </w:rPr>
            </w:pPr>
          </w:p>
        </w:tc>
      </w:tr>
      <w:tr w:rsidR="000C58E0" w14:paraId="0DEAFAE7" w14:textId="77777777" w:rsidTr="000C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22" w:type="dxa"/>
            <w:gridSpan w:val="4"/>
            <w:tcBorders>
              <w:top w:val="nil"/>
              <w:left w:val="nil"/>
              <w:bottom w:val="nil"/>
              <w:right w:val="nil"/>
            </w:tcBorders>
          </w:tcPr>
          <w:p w14:paraId="6F1B85DA" w14:textId="77777777" w:rsidR="000C58E0" w:rsidRDefault="000C58E0" w:rsidP="00CE2293">
            <w:pPr>
              <w:tabs>
                <w:tab w:val="left" w:pos="6165"/>
              </w:tabs>
              <w:rPr>
                <w:i/>
                <w:sz w:val="22"/>
                <w:szCs w:val="22"/>
              </w:rPr>
            </w:pPr>
            <w:r w:rsidRPr="006F07FB">
              <w:rPr>
                <w:b/>
                <w:i/>
                <w:sz w:val="22"/>
                <w:szCs w:val="22"/>
              </w:rPr>
              <w:t>Italics denotes absence</w:t>
            </w:r>
            <w:r>
              <w:rPr>
                <w:b/>
                <w:i/>
                <w:sz w:val="22"/>
                <w:szCs w:val="22"/>
              </w:rPr>
              <w:tab/>
              <w:t xml:space="preserve">                                            </w:t>
            </w:r>
            <w:r w:rsidRPr="00464D75">
              <w:rPr>
                <w:b/>
                <w:sz w:val="36"/>
                <w:szCs w:val="36"/>
              </w:rPr>
              <w:t>MINUTES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7"/>
        <w:gridCol w:w="9037"/>
      </w:tblGrid>
      <w:tr w:rsidR="0079406A" w14:paraId="55E7A353" w14:textId="77777777" w:rsidTr="0093520D">
        <w:tc>
          <w:tcPr>
            <w:tcW w:w="534" w:type="dxa"/>
            <w:shd w:val="clear" w:color="auto" w:fill="BFBFBF" w:themeFill="background1" w:themeFillShade="BF"/>
          </w:tcPr>
          <w:p w14:paraId="20BC82D0" w14:textId="77777777" w:rsidR="0079406A" w:rsidRPr="00963CE9" w:rsidRDefault="0093520D" w:rsidP="0093520D">
            <w:pPr>
              <w:rPr>
                <w:b/>
                <w:bCs/>
                <w:sz w:val="22"/>
              </w:rPr>
            </w:pPr>
            <w:r>
              <w:rPr>
                <w:b/>
                <w:bCs/>
                <w:sz w:val="22"/>
              </w:rPr>
              <w:t>No</w:t>
            </w:r>
          </w:p>
        </w:tc>
        <w:tc>
          <w:tcPr>
            <w:tcW w:w="1417" w:type="dxa"/>
            <w:shd w:val="clear" w:color="auto" w:fill="BFBFBF" w:themeFill="background1" w:themeFillShade="BF"/>
          </w:tcPr>
          <w:p w14:paraId="7AF32446" w14:textId="77777777" w:rsidR="0079406A" w:rsidRPr="00963CE9" w:rsidRDefault="0093520D" w:rsidP="0093520D">
            <w:pPr>
              <w:rPr>
                <w:b/>
                <w:bCs/>
                <w:sz w:val="22"/>
              </w:rPr>
            </w:pPr>
            <w:r>
              <w:rPr>
                <w:b/>
                <w:bCs/>
                <w:sz w:val="22"/>
              </w:rPr>
              <w:t>Item</w:t>
            </w:r>
          </w:p>
        </w:tc>
        <w:tc>
          <w:tcPr>
            <w:tcW w:w="9037" w:type="dxa"/>
            <w:shd w:val="clear" w:color="auto" w:fill="BFBFBF" w:themeFill="background1" w:themeFillShade="BF"/>
          </w:tcPr>
          <w:p w14:paraId="5CC392E8" w14:textId="77777777" w:rsidR="0079406A" w:rsidRPr="00963CE9" w:rsidRDefault="0079406A" w:rsidP="0010350E">
            <w:pPr>
              <w:jc w:val="center"/>
              <w:rPr>
                <w:b/>
                <w:bCs/>
                <w:sz w:val="22"/>
              </w:rPr>
            </w:pPr>
            <w:r>
              <w:rPr>
                <w:b/>
                <w:bCs/>
                <w:sz w:val="22"/>
              </w:rPr>
              <w:t xml:space="preserve">The meeting opened </w:t>
            </w:r>
            <w:r w:rsidR="009E20B1" w:rsidRPr="003478AC">
              <w:rPr>
                <w:b/>
                <w:bCs/>
                <w:sz w:val="22"/>
              </w:rPr>
              <w:t>at 5.0</w:t>
            </w:r>
            <w:r w:rsidR="0010350E" w:rsidRPr="003478AC">
              <w:rPr>
                <w:b/>
                <w:bCs/>
                <w:sz w:val="22"/>
              </w:rPr>
              <w:t>3</w:t>
            </w:r>
            <w:r w:rsidR="009E20B1" w:rsidRPr="003478AC">
              <w:rPr>
                <w:b/>
                <w:bCs/>
                <w:sz w:val="22"/>
              </w:rPr>
              <w:t>pm</w:t>
            </w:r>
            <w:r w:rsidRPr="003478AC">
              <w:rPr>
                <w:b/>
                <w:bCs/>
                <w:sz w:val="22"/>
              </w:rPr>
              <w:t xml:space="preserve"> </w:t>
            </w:r>
            <w:r>
              <w:rPr>
                <w:b/>
                <w:bCs/>
                <w:sz w:val="22"/>
              </w:rPr>
              <w:t xml:space="preserve">and was quorate with at least 3 members present. </w:t>
            </w:r>
          </w:p>
        </w:tc>
      </w:tr>
      <w:tr w:rsidR="0079406A" w14:paraId="6CAFB562" w14:textId="77777777" w:rsidTr="0093520D">
        <w:trPr>
          <w:trHeight w:val="311"/>
        </w:trPr>
        <w:tc>
          <w:tcPr>
            <w:tcW w:w="534" w:type="dxa"/>
          </w:tcPr>
          <w:p w14:paraId="32718736" w14:textId="77777777" w:rsidR="0079406A" w:rsidRDefault="0079406A" w:rsidP="008D73C5">
            <w:pPr>
              <w:rPr>
                <w:b/>
                <w:bCs/>
                <w:sz w:val="22"/>
              </w:rPr>
            </w:pPr>
            <w:r w:rsidRPr="00963CE9">
              <w:rPr>
                <w:b/>
                <w:bCs/>
                <w:sz w:val="22"/>
              </w:rPr>
              <w:t>1</w:t>
            </w:r>
          </w:p>
          <w:p w14:paraId="485CF736" w14:textId="77777777" w:rsidR="00815E89" w:rsidRPr="00815E89" w:rsidRDefault="00815E89" w:rsidP="0093520D">
            <w:pPr>
              <w:rPr>
                <w:b/>
                <w:bCs/>
                <w:color w:val="FF0000"/>
                <w:sz w:val="22"/>
              </w:rPr>
            </w:pPr>
          </w:p>
        </w:tc>
        <w:tc>
          <w:tcPr>
            <w:tcW w:w="1417" w:type="dxa"/>
          </w:tcPr>
          <w:p w14:paraId="3184AF3B" w14:textId="2A9F836E"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/01</w:t>
            </w:r>
          </w:p>
          <w:p w14:paraId="4A433164" w14:textId="77777777" w:rsidR="0079406A" w:rsidRPr="00963CE9" w:rsidRDefault="0079406A" w:rsidP="008D73C5">
            <w:pPr>
              <w:rPr>
                <w:sz w:val="22"/>
              </w:rPr>
            </w:pPr>
          </w:p>
        </w:tc>
        <w:tc>
          <w:tcPr>
            <w:tcW w:w="9037" w:type="dxa"/>
          </w:tcPr>
          <w:p w14:paraId="0ECAA3B2" w14:textId="75461C6E" w:rsidR="0079406A" w:rsidRDefault="0079406A" w:rsidP="00BE7ACD">
            <w:pPr>
              <w:ind w:left="133"/>
              <w:rPr>
                <w:b/>
                <w:bCs/>
                <w:sz w:val="22"/>
              </w:rPr>
            </w:pPr>
            <w:r w:rsidRPr="00963CE9">
              <w:rPr>
                <w:b/>
                <w:bCs/>
                <w:sz w:val="22"/>
              </w:rPr>
              <w:t xml:space="preserve">APOLOGIES </w:t>
            </w:r>
            <w:r w:rsidR="00920462">
              <w:rPr>
                <w:b/>
                <w:bCs/>
                <w:sz w:val="22"/>
              </w:rPr>
              <w:t>AND ELECTION OF CHAIR</w:t>
            </w:r>
          </w:p>
          <w:p w14:paraId="0EF69964" w14:textId="77777777" w:rsidR="0079406A" w:rsidRDefault="0079406A" w:rsidP="00BE7ACD">
            <w:pPr>
              <w:ind w:left="133"/>
              <w:rPr>
                <w:b/>
                <w:bCs/>
                <w:sz w:val="22"/>
              </w:rPr>
            </w:pPr>
          </w:p>
          <w:p w14:paraId="25674DDF" w14:textId="73DC08C2" w:rsidR="0079406A" w:rsidRPr="0010350E" w:rsidRDefault="00893358" w:rsidP="00BE7ACD">
            <w:pPr>
              <w:ind w:left="133"/>
              <w:rPr>
                <w:bCs/>
                <w:sz w:val="22"/>
              </w:rPr>
            </w:pPr>
            <w:r>
              <w:rPr>
                <w:bCs/>
                <w:sz w:val="22"/>
              </w:rPr>
              <w:t>Apolog</w:t>
            </w:r>
            <w:r w:rsidR="003265E5">
              <w:rPr>
                <w:bCs/>
                <w:sz w:val="22"/>
              </w:rPr>
              <w:t>ies</w:t>
            </w:r>
            <w:r>
              <w:rPr>
                <w:bCs/>
                <w:sz w:val="22"/>
              </w:rPr>
              <w:t xml:space="preserve"> for absence w</w:t>
            </w:r>
            <w:r w:rsidR="003265E5">
              <w:rPr>
                <w:bCs/>
                <w:sz w:val="22"/>
              </w:rPr>
              <w:t>ere</w:t>
            </w:r>
            <w:r>
              <w:rPr>
                <w:bCs/>
                <w:sz w:val="22"/>
              </w:rPr>
              <w:t xml:space="preserve"> received from </w:t>
            </w:r>
            <w:r w:rsidR="003265E5">
              <w:rPr>
                <w:bCs/>
                <w:sz w:val="22"/>
              </w:rPr>
              <w:t xml:space="preserve">Kathryn Causey and </w:t>
            </w:r>
            <w:r>
              <w:rPr>
                <w:bCs/>
                <w:sz w:val="22"/>
              </w:rPr>
              <w:t>Jennifer Cockram.</w:t>
            </w:r>
            <w:r w:rsidR="00920462">
              <w:rPr>
                <w:bCs/>
                <w:sz w:val="22"/>
              </w:rPr>
              <w:t xml:space="preserve"> In the absence of Kathryn Causey, Diane Brennan was elected as Chair for the meeting.</w:t>
            </w:r>
          </w:p>
          <w:p w14:paraId="072334DD" w14:textId="77777777" w:rsidR="0079406A" w:rsidRPr="00963CE9" w:rsidRDefault="0079406A" w:rsidP="00BE7ACD">
            <w:pPr>
              <w:ind w:left="133"/>
              <w:rPr>
                <w:sz w:val="22"/>
              </w:rPr>
            </w:pPr>
          </w:p>
        </w:tc>
      </w:tr>
      <w:tr w:rsidR="0079406A" w14:paraId="383B8B83" w14:textId="77777777" w:rsidTr="0093520D">
        <w:tc>
          <w:tcPr>
            <w:tcW w:w="534" w:type="dxa"/>
          </w:tcPr>
          <w:p w14:paraId="2BCE6C29" w14:textId="77777777" w:rsidR="0079406A" w:rsidRDefault="0079406A" w:rsidP="008D73C5">
            <w:pPr>
              <w:rPr>
                <w:b/>
                <w:bCs/>
                <w:sz w:val="22"/>
              </w:rPr>
            </w:pPr>
            <w:r w:rsidRPr="00963CE9">
              <w:rPr>
                <w:b/>
                <w:bCs/>
                <w:sz w:val="22"/>
              </w:rPr>
              <w:t>2</w:t>
            </w:r>
          </w:p>
          <w:p w14:paraId="2918289A" w14:textId="77777777" w:rsidR="00A5407C" w:rsidRPr="00963CE9" w:rsidRDefault="00A5407C" w:rsidP="004B2292">
            <w:pPr>
              <w:rPr>
                <w:b/>
                <w:bCs/>
                <w:sz w:val="22"/>
              </w:rPr>
            </w:pPr>
          </w:p>
        </w:tc>
        <w:tc>
          <w:tcPr>
            <w:tcW w:w="1417" w:type="dxa"/>
          </w:tcPr>
          <w:p w14:paraId="1EDA6F45" w14:textId="2399F6A1"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3573CE">
              <w:rPr>
                <w:b/>
                <w:bCs/>
                <w:sz w:val="22"/>
              </w:rPr>
              <w:t>2</w:t>
            </w:r>
          </w:p>
          <w:p w14:paraId="3CEB5CF1" w14:textId="77777777" w:rsidR="0079406A" w:rsidRPr="00963CE9" w:rsidRDefault="0079406A" w:rsidP="008D73C5">
            <w:pPr>
              <w:rPr>
                <w:sz w:val="22"/>
              </w:rPr>
            </w:pPr>
          </w:p>
        </w:tc>
        <w:tc>
          <w:tcPr>
            <w:tcW w:w="9037" w:type="dxa"/>
          </w:tcPr>
          <w:p w14:paraId="2C597034" w14:textId="77777777" w:rsidR="0079406A" w:rsidRDefault="0079406A" w:rsidP="00BE7ACD">
            <w:pPr>
              <w:ind w:left="133"/>
              <w:rPr>
                <w:b/>
                <w:bCs/>
                <w:sz w:val="22"/>
              </w:rPr>
            </w:pPr>
            <w:r w:rsidRPr="00963CE9">
              <w:rPr>
                <w:b/>
                <w:bCs/>
                <w:sz w:val="22"/>
              </w:rPr>
              <w:t>DECLARATIONS OF INTEREST</w:t>
            </w:r>
          </w:p>
          <w:p w14:paraId="7E324EE2" w14:textId="77777777" w:rsidR="00926541" w:rsidRDefault="00926541" w:rsidP="00BE7ACD">
            <w:pPr>
              <w:ind w:left="133"/>
              <w:rPr>
                <w:b/>
                <w:bCs/>
                <w:sz w:val="22"/>
              </w:rPr>
            </w:pPr>
          </w:p>
          <w:p w14:paraId="6B0925B1" w14:textId="77777777" w:rsidR="00926541" w:rsidRPr="0010350E" w:rsidRDefault="00926541" w:rsidP="00BE7ACD">
            <w:pPr>
              <w:ind w:left="133"/>
              <w:rPr>
                <w:bCs/>
                <w:sz w:val="22"/>
              </w:rPr>
            </w:pPr>
            <w:r w:rsidRPr="0010350E">
              <w:rPr>
                <w:bCs/>
                <w:sz w:val="22"/>
              </w:rPr>
              <w:t>There were no declarations of interest.</w:t>
            </w:r>
          </w:p>
          <w:p w14:paraId="58F7DF3A" w14:textId="77777777" w:rsidR="0079406A" w:rsidRPr="00963CE9" w:rsidRDefault="0079406A" w:rsidP="00BE7ACD">
            <w:pPr>
              <w:ind w:left="133"/>
              <w:rPr>
                <w:b/>
                <w:bCs/>
                <w:sz w:val="22"/>
              </w:rPr>
            </w:pPr>
          </w:p>
        </w:tc>
      </w:tr>
      <w:tr w:rsidR="0079406A" w14:paraId="735F3F99" w14:textId="77777777" w:rsidTr="0093520D">
        <w:tc>
          <w:tcPr>
            <w:tcW w:w="534" w:type="dxa"/>
          </w:tcPr>
          <w:p w14:paraId="5F63F974" w14:textId="77777777" w:rsidR="0079406A" w:rsidRDefault="0079406A" w:rsidP="008D73C5">
            <w:pPr>
              <w:rPr>
                <w:b/>
                <w:bCs/>
                <w:sz w:val="22"/>
              </w:rPr>
            </w:pPr>
            <w:r w:rsidRPr="00963CE9">
              <w:rPr>
                <w:b/>
                <w:bCs/>
                <w:sz w:val="22"/>
              </w:rPr>
              <w:t>3</w:t>
            </w:r>
          </w:p>
          <w:p w14:paraId="1965C151" w14:textId="77777777" w:rsidR="00A5407C" w:rsidRPr="00963CE9" w:rsidRDefault="00A5407C" w:rsidP="004B2292">
            <w:pPr>
              <w:rPr>
                <w:b/>
                <w:bCs/>
                <w:sz w:val="22"/>
              </w:rPr>
            </w:pPr>
          </w:p>
        </w:tc>
        <w:tc>
          <w:tcPr>
            <w:tcW w:w="1417" w:type="dxa"/>
          </w:tcPr>
          <w:p w14:paraId="6FB602A9" w14:textId="0840A226"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3573CE">
              <w:rPr>
                <w:b/>
                <w:bCs/>
                <w:sz w:val="22"/>
              </w:rPr>
              <w:t>3</w:t>
            </w:r>
          </w:p>
          <w:p w14:paraId="3490FD1D" w14:textId="77777777" w:rsidR="0079406A" w:rsidRPr="00963CE9" w:rsidRDefault="0079406A" w:rsidP="008D73C5">
            <w:pPr>
              <w:rPr>
                <w:sz w:val="22"/>
              </w:rPr>
            </w:pPr>
          </w:p>
        </w:tc>
        <w:tc>
          <w:tcPr>
            <w:tcW w:w="9037" w:type="dxa"/>
            <w:tcBorders>
              <w:bottom w:val="single" w:sz="4" w:space="0" w:color="auto"/>
            </w:tcBorders>
          </w:tcPr>
          <w:p w14:paraId="394B14C8" w14:textId="0EACDCCF" w:rsidR="00002696" w:rsidRDefault="0079406A" w:rsidP="00BE7ACD">
            <w:pPr>
              <w:ind w:left="133"/>
              <w:rPr>
                <w:sz w:val="22"/>
                <w:szCs w:val="22"/>
              </w:rPr>
            </w:pPr>
            <w:r w:rsidRPr="00963CE9">
              <w:rPr>
                <w:b/>
                <w:bCs/>
                <w:sz w:val="22"/>
              </w:rPr>
              <w:t xml:space="preserve">MINUTES OF THE MEETING HELD ON </w:t>
            </w:r>
            <w:r w:rsidR="00A07811">
              <w:rPr>
                <w:b/>
                <w:bCs/>
                <w:sz w:val="22"/>
              </w:rPr>
              <w:t>7</w:t>
            </w:r>
            <w:r w:rsidR="00A07811" w:rsidRPr="00A07811">
              <w:rPr>
                <w:b/>
                <w:bCs/>
                <w:sz w:val="22"/>
                <w:vertAlign w:val="superscript"/>
              </w:rPr>
              <w:t>TH</w:t>
            </w:r>
            <w:r w:rsidR="00A07811">
              <w:rPr>
                <w:b/>
                <w:bCs/>
                <w:sz w:val="22"/>
              </w:rPr>
              <w:t xml:space="preserve"> MARCH 2019</w:t>
            </w:r>
            <w:r w:rsidRPr="00963CE9">
              <w:rPr>
                <w:b/>
                <w:bCs/>
                <w:sz w:val="22"/>
              </w:rPr>
              <w:t xml:space="preserve"> </w:t>
            </w:r>
            <w:r w:rsidR="00002696" w:rsidRPr="00837394">
              <w:rPr>
                <w:sz w:val="22"/>
                <w:szCs w:val="22"/>
              </w:rPr>
              <w:t xml:space="preserve"> </w:t>
            </w:r>
          </w:p>
          <w:p w14:paraId="10690EEE" w14:textId="77777777" w:rsidR="00002696" w:rsidRDefault="00002696" w:rsidP="00BE7ACD">
            <w:pPr>
              <w:ind w:left="133"/>
              <w:rPr>
                <w:sz w:val="22"/>
                <w:szCs w:val="22"/>
              </w:rPr>
            </w:pPr>
          </w:p>
          <w:p w14:paraId="296E84DF" w14:textId="77777777" w:rsidR="00002696" w:rsidRPr="0010350E" w:rsidRDefault="00002696" w:rsidP="00BE7ACD">
            <w:pPr>
              <w:ind w:left="133"/>
              <w:rPr>
                <w:sz w:val="22"/>
                <w:szCs w:val="22"/>
              </w:rPr>
            </w:pPr>
            <w:r w:rsidRPr="0010350E">
              <w:rPr>
                <w:sz w:val="22"/>
                <w:szCs w:val="22"/>
              </w:rPr>
              <w:t>The</w:t>
            </w:r>
            <w:r w:rsidR="00815E89" w:rsidRPr="0010350E">
              <w:rPr>
                <w:sz w:val="22"/>
                <w:szCs w:val="22"/>
              </w:rPr>
              <w:t xml:space="preserve"> minutes</w:t>
            </w:r>
            <w:r w:rsidRPr="0010350E">
              <w:rPr>
                <w:sz w:val="22"/>
                <w:szCs w:val="22"/>
              </w:rPr>
              <w:t xml:space="preserve"> were approved </w:t>
            </w:r>
            <w:r w:rsidR="009E20B1" w:rsidRPr="0010350E">
              <w:rPr>
                <w:sz w:val="22"/>
                <w:szCs w:val="22"/>
              </w:rPr>
              <w:t>as a</w:t>
            </w:r>
            <w:r w:rsidRPr="0010350E">
              <w:rPr>
                <w:sz w:val="22"/>
                <w:szCs w:val="22"/>
              </w:rPr>
              <w:t xml:space="preserve"> correct record for signature by the Chair.</w:t>
            </w:r>
          </w:p>
          <w:p w14:paraId="0FEC32A3" w14:textId="77777777" w:rsidR="0079406A" w:rsidRPr="00963CE9" w:rsidRDefault="0079406A" w:rsidP="00BE7ACD">
            <w:pPr>
              <w:ind w:left="133"/>
              <w:rPr>
                <w:sz w:val="22"/>
              </w:rPr>
            </w:pPr>
          </w:p>
        </w:tc>
      </w:tr>
      <w:tr w:rsidR="0079406A" w14:paraId="20543029" w14:textId="77777777" w:rsidTr="0093520D">
        <w:tc>
          <w:tcPr>
            <w:tcW w:w="534" w:type="dxa"/>
            <w:tcBorders>
              <w:bottom w:val="single" w:sz="4" w:space="0" w:color="auto"/>
            </w:tcBorders>
          </w:tcPr>
          <w:p w14:paraId="2817CD1D" w14:textId="77777777" w:rsidR="0079406A" w:rsidRDefault="0079406A" w:rsidP="008D73C5">
            <w:pPr>
              <w:rPr>
                <w:b/>
                <w:bCs/>
                <w:sz w:val="22"/>
              </w:rPr>
            </w:pPr>
            <w:r w:rsidRPr="00963CE9">
              <w:rPr>
                <w:b/>
                <w:bCs/>
                <w:sz w:val="22"/>
              </w:rPr>
              <w:t>4</w:t>
            </w:r>
          </w:p>
          <w:p w14:paraId="3424A72E" w14:textId="77777777" w:rsidR="00A5407C" w:rsidRPr="00963CE9" w:rsidRDefault="00A5407C" w:rsidP="004B2292">
            <w:pPr>
              <w:rPr>
                <w:b/>
                <w:bCs/>
                <w:sz w:val="22"/>
              </w:rPr>
            </w:pPr>
          </w:p>
        </w:tc>
        <w:tc>
          <w:tcPr>
            <w:tcW w:w="1417" w:type="dxa"/>
            <w:tcBorders>
              <w:bottom w:val="single" w:sz="4" w:space="0" w:color="auto"/>
              <w:right w:val="single" w:sz="4" w:space="0" w:color="auto"/>
            </w:tcBorders>
          </w:tcPr>
          <w:p w14:paraId="7D2E5AC9" w14:textId="092E1FAE"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3573CE">
              <w:rPr>
                <w:b/>
                <w:bCs/>
                <w:sz w:val="22"/>
              </w:rPr>
              <w:t>4</w:t>
            </w:r>
          </w:p>
          <w:p w14:paraId="765DD15E" w14:textId="77777777" w:rsidR="0079406A" w:rsidRPr="00963CE9" w:rsidRDefault="0079406A" w:rsidP="006B5269">
            <w:pPr>
              <w:rPr>
                <w:sz w:val="22"/>
              </w:rPr>
            </w:pPr>
          </w:p>
        </w:tc>
        <w:tc>
          <w:tcPr>
            <w:tcW w:w="9037" w:type="dxa"/>
            <w:tcBorders>
              <w:top w:val="single" w:sz="4" w:space="0" w:color="auto"/>
              <w:left w:val="single" w:sz="4" w:space="0" w:color="auto"/>
              <w:bottom w:val="single" w:sz="4" w:space="0" w:color="auto"/>
              <w:right w:val="single" w:sz="4" w:space="0" w:color="auto"/>
            </w:tcBorders>
          </w:tcPr>
          <w:p w14:paraId="08360933" w14:textId="77777777" w:rsidR="0079406A" w:rsidRDefault="0079406A" w:rsidP="00BE7ACD">
            <w:pPr>
              <w:pStyle w:val="Heading2"/>
              <w:ind w:left="133"/>
              <w:rPr>
                <w:b w:val="0"/>
                <w:bCs w:val="0"/>
                <w:sz w:val="22"/>
              </w:rPr>
            </w:pPr>
            <w:r w:rsidRPr="00963CE9">
              <w:rPr>
                <w:sz w:val="22"/>
              </w:rPr>
              <w:t>MATTERS ARISING</w:t>
            </w:r>
          </w:p>
          <w:p w14:paraId="1C0B9B5B" w14:textId="77777777" w:rsidR="00002696" w:rsidRDefault="00002696" w:rsidP="00BE7ACD">
            <w:pPr>
              <w:ind w:left="133"/>
            </w:pPr>
          </w:p>
          <w:p w14:paraId="0453C3E2" w14:textId="77777777" w:rsidR="00002696" w:rsidRPr="003573CE" w:rsidRDefault="00002696" w:rsidP="00BE7ACD">
            <w:pPr>
              <w:ind w:left="133"/>
              <w:rPr>
                <w:sz w:val="22"/>
                <w:szCs w:val="22"/>
              </w:rPr>
            </w:pPr>
            <w:r w:rsidRPr="003573CE">
              <w:rPr>
                <w:sz w:val="22"/>
                <w:szCs w:val="22"/>
              </w:rPr>
              <w:t xml:space="preserve">The </w:t>
            </w:r>
            <w:r w:rsidR="001D1F03" w:rsidRPr="003573CE">
              <w:rPr>
                <w:sz w:val="22"/>
                <w:szCs w:val="22"/>
              </w:rPr>
              <w:t>C</w:t>
            </w:r>
            <w:r w:rsidRPr="003573CE">
              <w:rPr>
                <w:sz w:val="22"/>
                <w:szCs w:val="22"/>
              </w:rPr>
              <w:t>lerk advised</w:t>
            </w:r>
            <w:r w:rsidR="00CF1762" w:rsidRPr="003573CE">
              <w:rPr>
                <w:sz w:val="22"/>
                <w:szCs w:val="22"/>
              </w:rPr>
              <w:t xml:space="preserve"> that </w:t>
            </w:r>
            <w:r w:rsidR="00DD0102" w:rsidRPr="003573CE">
              <w:rPr>
                <w:sz w:val="22"/>
                <w:szCs w:val="22"/>
              </w:rPr>
              <w:t xml:space="preserve">all matters on the committee’s Action Sheet were </w:t>
            </w:r>
            <w:r w:rsidR="003573CE" w:rsidRPr="003573CE">
              <w:rPr>
                <w:sz w:val="22"/>
                <w:szCs w:val="22"/>
              </w:rPr>
              <w:t>now</w:t>
            </w:r>
            <w:r w:rsidR="00DD0102" w:rsidRPr="003573CE">
              <w:rPr>
                <w:sz w:val="22"/>
                <w:szCs w:val="22"/>
              </w:rPr>
              <w:t xml:space="preserve"> complete</w:t>
            </w:r>
            <w:r w:rsidR="003573CE" w:rsidRPr="003573CE">
              <w:rPr>
                <w:sz w:val="22"/>
                <w:szCs w:val="22"/>
              </w:rPr>
              <w:t>.</w:t>
            </w:r>
            <w:r w:rsidR="00DD0102" w:rsidRPr="003573CE">
              <w:rPr>
                <w:sz w:val="22"/>
                <w:szCs w:val="22"/>
              </w:rPr>
              <w:t xml:space="preserve"> </w:t>
            </w:r>
          </w:p>
          <w:p w14:paraId="1C8E7611" w14:textId="77777777" w:rsidR="00CF1762" w:rsidRPr="00002696" w:rsidRDefault="00CF1762" w:rsidP="00BE7ACD">
            <w:pPr>
              <w:ind w:left="133"/>
            </w:pPr>
          </w:p>
        </w:tc>
      </w:tr>
      <w:tr w:rsidR="00DD0102" w14:paraId="76F5D509" w14:textId="77777777" w:rsidTr="0093520D">
        <w:tc>
          <w:tcPr>
            <w:tcW w:w="534" w:type="dxa"/>
            <w:tcBorders>
              <w:bottom w:val="single" w:sz="4" w:space="0" w:color="auto"/>
            </w:tcBorders>
          </w:tcPr>
          <w:p w14:paraId="58C86165" w14:textId="77777777" w:rsidR="00DD0102" w:rsidRDefault="00815E89" w:rsidP="00DD0102">
            <w:pPr>
              <w:rPr>
                <w:b/>
                <w:bCs/>
                <w:sz w:val="22"/>
              </w:rPr>
            </w:pPr>
            <w:r>
              <w:rPr>
                <w:b/>
                <w:bCs/>
                <w:sz w:val="22"/>
              </w:rPr>
              <w:t>5</w:t>
            </w:r>
          </w:p>
          <w:p w14:paraId="1A4D4AFE" w14:textId="77777777" w:rsidR="00815E89" w:rsidRDefault="00815E89" w:rsidP="00DD0102">
            <w:pPr>
              <w:rPr>
                <w:b/>
                <w:bCs/>
                <w:sz w:val="22"/>
              </w:rPr>
            </w:pPr>
          </w:p>
          <w:p w14:paraId="2242A9F3" w14:textId="77777777" w:rsidR="001D092C" w:rsidRDefault="001D092C" w:rsidP="001D092C">
            <w:pPr>
              <w:rPr>
                <w:b/>
                <w:bCs/>
                <w:sz w:val="22"/>
              </w:rPr>
            </w:pPr>
          </w:p>
          <w:p w14:paraId="727E812D" w14:textId="77777777" w:rsidR="001D092C" w:rsidRDefault="001D092C" w:rsidP="001D092C">
            <w:pPr>
              <w:rPr>
                <w:b/>
                <w:bCs/>
                <w:sz w:val="22"/>
              </w:rPr>
            </w:pPr>
          </w:p>
        </w:tc>
        <w:tc>
          <w:tcPr>
            <w:tcW w:w="1417" w:type="dxa"/>
            <w:tcBorders>
              <w:bottom w:val="single" w:sz="4" w:space="0" w:color="auto"/>
            </w:tcBorders>
          </w:tcPr>
          <w:p w14:paraId="7A2E9A7F" w14:textId="47B0878A"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3573CE">
              <w:rPr>
                <w:b/>
                <w:bCs/>
                <w:sz w:val="22"/>
              </w:rPr>
              <w:t>5</w:t>
            </w:r>
          </w:p>
          <w:p w14:paraId="68EA03C7" w14:textId="77777777" w:rsidR="00DD0102" w:rsidRPr="001D092C" w:rsidRDefault="00DD0102" w:rsidP="008D73C5">
            <w:pPr>
              <w:rPr>
                <w:color w:val="FF0000"/>
                <w:sz w:val="22"/>
              </w:rPr>
            </w:pPr>
          </w:p>
        </w:tc>
        <w:tc>
          <w:tcPr>
            <w:tcW w:w="9037" w:type="dxa"/>
            <w:tcBorders>
              <w:top w:val="single" w:sz="4" w:space="0" w:color="auto"/>
              <w:bottom w:val="single" w:sz="4" w:space="0" w:color="auto"/>
            </w:tcBorders>
          </w:tcPr>
          <w:p w14:paraId="749FDD0E" w14:textId="77777777" w:rsidR="001D092C" w:rsidRPr="00963CE9" w:rsidRDefault="001D092C" w:rsidP="00BE7ACD">
            <w:pPr>
              <w:ind w:left="133"/>
              <w:rPr>
                <w:b/>
                <w:bCs/>
                <w:sz w:val="22"/>
              </w:rPr>
            </w:pPr>
            <w:r w:rsidRPr="00963CE9">
              <w:rPr>
                <w:b/>
                <w:bCs/>
                <w:sz w:val="22"/>
              </w:rPr>
              <w:t>HUMAN RESOURCES</w:t>
            </w:r>
          </w:p>
          <w:p w14:paraId="33F05447" w14:textId="77777777" w:rsidR="001D092C" w:rsidRDefault="001D092C" w:rsidP="00BE7ACD">
            <w:pPr>
              <w:ind w:left="133"/>
              <w:rPr>
                <w:sz w:val="22"/>
                <w:szCs w:val="20"/>
                <w:u w:val="single"/>
              </w:rPr>
            </w:pPr>
          </w:p>
          <w:p w14:paraId="25DDFABE" w14:textId="77777777" w:rsidR="001D092C" w:rsidRPr="00EB6651" w:rsidRDefault="003573CE" w:rsidP="00BE7ACD">
            <w:pPr>
              <w:ind w:left="133"/>
              <w:rPr>
                <w:sz w:val="22"/>
                <w:szCs w:val="20"/>
              </w:rPr>
            </w:pPr>
            <w:r>
              <w:rPr>
                <w:sz w:val="22"/>
                <w:szCs w:val="20"/>
                <w:u w:val="single"/>
              </w:rPr>
              <w:t>Human Resources KPI Dashboard &amp; Report</w:t>
            </w:r>
          </w:p>
          <w:p w14:paraId="4FE9016C" w14:textId="77777777" w:rsidR="001D092C" w:rsidRPr="00EB6651" w:rsidRDefault="001D092C" w:rsidP="00BE7ACD">
            <w:pPr>
              <w:ind w:left="133"/>
              <w:rPr>
                <w:sz w:val="22"/>
                <w:szCs w:val="20"/>
              </w:rPr>
            </w:pPr>
          </w:p>
          <w:p w14:paraId="38E86121" w14:textId="202833CF" w:rsidR="00A07811" w:rsidRDefault="001D092C" w:rsidP="00A07811">
            <w:pPr>
              <w:ind w:left="133"/>
              <w:rPr>
                <w:sz w:val="22"/>
                <w:szCs w:val="20"/>
              </w:rPr>
            </w:pPr>
            <w:r w:rsidRPr="00ED4CB6">
              <w:rPr>
                <w:sz w:val="22"/>
                <w:szCs w:val="20"/>
              </w:rPr>
              <w:t>The Vice Principal</w:t>
            </w:r>
            <w:r w:rsidR="003573CE" w:rsidRPr="00ED4CB6">
              <w:rPr>
                <w:sz w:val="22"/>
                <w:szCs w:val="20"/>
              </w:rPr>
              <w:t>,</w:t>
            </w:r>
            <w:r w:rsidRPr="00ED4CB6">
              <w:rPr>
                <w:sz w:val="22"/>
                <w:szCs w:val="20"/>
              </w:rPr>
              <w:t xml:space="preserve"> C</w:t>
            </w:r>
            <w:r w:rsidR="003573CE" w:rsidRPr="00ED4CB6">
              <w:rPr>
                <w:sz w:val="22"/>
                <w:szCs w:val="20"/>
              </w:rPr>
              <w:t>orporate</w:t>
            </w:r>
            <w:r w:rsidRPr="00ED4CB6">
              <w:rPr>
                <w:sz w:val="22"/>
                <w:szCs w:val="20"/>
              </w:rPr>
              <w:t xml:space="preserve"> Services </w:t>
            </w:r>
            <w:r w:rsidR="00920462">
              <w:rPr>
                <w:sz w:val="22"/>
                <w:szCs w:val="20"/>
              </w:rPr>
              <w:t xml:space="preserve">reported that sickness absence at the college remained below the 3% sector benchmark, despite a slight increase in the twelve months to April 2019 compared to the previous year. She also outlined employee engagement and mental health awareness activities, which members noted had been well received by staff. The Vice Principal explained that feedback from staff had been encouraging, with many asking for more activities of this sort in the future. She also advised that the biennial staff survey had been launched and </w:t>
            </w:r>
            <w:r w:rsidR="000B1A1C">
              <w:rPr>
                <w:sz w:val="22"/>
                <w:szCs w:val="20"/>
              </w:rPr>
              <w:t xml:space="preserve">already </w:t>
            </w:r>
            <w:r w:rsidR="00920462">
              <w:rPr>
                <w:sz w:val="22"/>
                <w:szCs w:val="20"/>
              </w:rPr>
              <w:t>had</w:t>
            </w:r>
            <w:r w:rsidR="000B1A1C">
              <w:rPr>
                <w:sz w:val="22"/>
                <w:szCs w:val="20"/>
              </w:rPr>
              <w:t xml:space="preserve"> a 60% completion rate at only half-way to the completion deadline.</w:t>
            </w:r>
          </w:p>
          <w:p w14:paraId="41585B8C" w14:textId="75BCF168" w:rsidR="000B1A1C" w:rsidRDefault="000B1A1C" w:rsidP="00A07811">
            <w:pPr>
              <w:ind w:left="133"/>
              <w:rPr>
                <w:color w:val="FF0000"/>
                <w:sz w:val="22"/>
                <w:szCs w:val="20"/>
              </w:rPr>
            </w:pPr>
          </w:p>
          <w:p w14:paraId="6C862408" w14:textId="7A2FB622" w:rsidR="000B1A1C" w:rsidRDefault="000B1A1C" w:rsidP="00A07811">
            <w:pPr>
              <w:ind w:left="133"/>
              <w:rPr>
                <w:sz w:val="22"/>
                <w:szCs w:val="20"/>
              </w:rPr>
            </w:pPr>
            <w:r w:rsidRPr="000B1A1C">
              <w:rPr>
                <w:sz w:val="22"/>
                <w:szCs w:val="20"/>
              </w:rPr>
              <w:t xml:space="preserve">The Vice </w:t>
            </w:r>
            <w:r>
              <w:rPr>
                <w:sz w:val="22"/>
                <w:szCs w:val="20"/>
              </w:rPr>
              <w:t>Principal outlined staff development activity and advised that the college’s leadership development programme through the Education Training Foundation and in partnership with Hopwood Hall College would commence its next cohort in September 2019.</w:t>
            </w:r>
            <w:r w:rsidR="00335247">
              <w:rPr>
                <w:sz w:val="22"/>
                <w:szCs w:val="20"/>
              </w:rPr>
              <w:t xml:space="preserve"> She also outlined current recruitment strategies and explained that recruitment in civil engineering and plumbing remained challenging. It was noted that the college had secured ‘Taking Teaching Further’ funding to help identify and recruit industry experts in more challenging recruitment areas. The Principal explained that this funding could not </w:t>
            </w:r>
            <w:r w:rsidR="00335247">
              <w:rPr>
                <w:sz w:val="22"/>
                <w:szCs w:val="20"/>
              </w:rPr>
              <w:lastRenderedPageBreak/>
              <w:t>be used to increase salaries in specialist areas but could be used to attract non-teachers from industry and funding of their training, including covering reduced teaching hours during training periods.</w:t>
            </w:r>
          </w:p>
          <w:p w14:paraId="136B26E6" w14:textId="10BFF271" w:rsidR="00ED2AF3" w:rsidRDefault="00ED2AF3" w:rsidP="00A07811">
            <w:pPr>
              <w:ind w:left="133"/>
              <w:rPr>
                <w:sz w:val="22"/>
                <w:szCs w:val="20"/>
              </w:rPr>
            </w:pPr>
          </w:p>
          <w:p w14:paraId="2EC484F6" w14:textId="616D647F" w:rsidR="00ED2AF3" w:rsidRDefault="00ED2AF3" w:rsidP="00A07811">
            <w:pPr>
              <w:ind w:left="133"/>
              <w:rPr>
                <w:sz w:val="22"/>
                <w:szCs w:val="20"/>
              </w:rPr>
            </w:pPr>
            <w:r>
              <w:rPr>
                <w:sz w:val="22"/>
                <w:szCs w:val="20"/>
              </w:rPr>
              <w:t>Members were pleased to learn that staff turnover rates had dropped significantly year-on-year and were now lower than the SIR College Workforce Survey benchmark. Members also discussed ‘reasons for leaving’ data and were disappointed to see that such a high number of leavers had indicated they were leaving the education sector. They acknowledged that this would at least partially be the result of falling real terms teaching salary levels in recent years across the Further Education sector. The Vice Principal also confirmed that the college’s Gender Pay Gap data had been reported as required. She advised that the gap had reduced slightly since the previous year and remained below the sector benchmark.</w:t>
            </w:r>
          </w:p>
          <w:p w14:paraId="3CB53E5E" w14:textId="10267B03" w:rsidR="00ED2AF3" w:rsidRDefault="00ED2AF3" w:rsidP="00A07811">
            <w:pPr>
              <w:ind w:left="133"/>
              <w:rPr>
                <w:sz w:val="22"/>
                <w:szCs w:val="20"/>
              </w:rPr>
            </w:pPr>
          </w:p>
          <w:p w14:paraId="2F49D3EB" w14:textId="6A9305B1" w:rsidR="00ED2AF3" w:rsidRDefault="00ED2AF3" w:rsidP="00A07811">
            <w:pPr>
              <w:ind w:left="133"/>
              <w:rPr>
                <w:sz w:val="22"/>
                <w:szCs w:val="20"/>
              </w:rPr>
            </w:pPr>
            <w:r>
              <w:rPr>
                <w:sz w:val="22"/>
                <w:szCs w:val="20"/>
              </w:rPr>
              <w:t xml:space="preserve">Members sought further information in relation to two reported staff dismissals. The Principal explained that considerable support was offered to staff to help further develop skills and improve performance but in some cases this proved not to be effective and dismissal </w:t>
            </w:r>
            <w:r w:rsidR="004C0135">
              <w:rPr>
                <w:sz w:val="22"/>
                <w:szCs w:val="20"/>
              </w:rPr>
              <w:t>was</w:t>
            </w:r>
            <w:r>
              <w:rPr>
                <w:sz w:val="22"/>
                <w:szCs w:val="20"/>
              </w:rPr>
              <w:t xml:space="preserve"> unavoidable. She also confirmed that reasons for dismissal were analysed to ensure that learning points </w:t>
            </w:r>
            <w:r w:rsidR="004C0135">
              <w:rPr>
                <w:sz w:val="22"/>
                <w:szCs w:val="20"/>
              </w:rPr>
              <w:t>we</w:t>
            </w:r>
            <w:r>
              <w:rPr>
                <w:sz w:val="22"/>
                <w:szCs w:val="20"/>
              </w:rPr>
              <w:t>re understood and further improvements could be put in place where appropriate.</w:t>
            </w:r>
            <w:r w:rsidR="004C0135">
              <w:rPr>
                <w:sz w:val="22"/>
                <w:szCs w:val="20"/>
              </w:rPr>
              <w:t xml:space="preserve"> Members noted that the college employed 15 apprentices and were pleased to learn that this represented almost 3% of the college’s workforce, compared to a 1% sector benchmark.</w:t>
            </w:r>
          </w:p>
          <w:p w14:paraId="254E3BDB" w14:textId="455B1142" w:rsidR="004C0135" w:rsidRDefault="004C0135" w:rsidP="00A07811">
            <w:pPr>
              <w:ind w:left="133"/>
              <w:rPr>
                <w:sz w:val="22"/>
                <w:szCs w:val="20"/>
              </w:rPr>
            </w:pPr>
          </w:p>
          <w:p w14:paraId="51B1DC81" w14:textId="0AD9608B" w:rsidR="004C0135" w:rsidRPr="000B1A1C" w:rsidRDefault="004C0135" w:rsidP="00A07811">
            <w:pPr>
              <w:ind w:left="133"/>
              <w:rPr>
                <w:sz w:val="22"/>
                <w:szCs w:val="20"/>
              </w:rPr>
            </w:pPr>
            <w:r>
              <w:rPr>
                <w:sz w:val="22"/>
                <w:szCs w:val="20"/>
              </w:rPr>
              <w:t>The Chair commented that the staff utilisation percentage had fallen but was still above the target of 98%. She acknowledged that efforts had been made to reduce high utilisation rates by recruiting further posts and providing additional support in the areas most affected. The Vice Principal explained that revised strategies and additional recruitment had been put in place early in the new year once uncertainties in relation to some college funding had been resolved. Members recognised that, by increasing staff numbers part-way through the year, it was unlikely that the utilisation statistics could be fully addressed</w:t>
            </w:r>
            <w:r w:rsidR="00E300C4">
              <w:rPr>
                <w:sz w:val="22"/>
                <w:szCs w:val="20"/>
              </w:rPr>
              <w:t xml:space="preserve"> in-year</w:t>
            </w:r>
            <w:r>
              <w:rPr>
                <w:sz w:val="22"/>
                <w:szCs w:val="20"/>
              </w:rPr>
              <w:t>. The Principal added that preparations for 2019/20 staffing were more advanced and utilisation rates were likely to be closer to expectations.</w:t>
            </w:r>
            <w:r w:rsidR="00094ED1">
              <w:rPr>
                <w:sz w:val="22"/>
                <w:szCs w:val="20"/>
              </w:rPr>
              <w:t xml:space="preserve"> However, she cautioned that this was dependant on the level of growth in student numbers.</w:t>
            </w:r>
          </w:p>
          <w:p w14:paraId="7DF9E5E7" w14:textId="77777777" w:rsidR="00DD0102" w:rsidRPr="0049101D" w:rsidRDefault="00DD0102" w:rsidP="00A07811">
            <w:pPr>
              <w:ind w:left="133"/>
              <w:rPr>
                <w:b/>
              </w:rPr>
            </w:pPr>
          </w:p>
        </w:tc>
      </w:tr>
      <w:tr w:rsidR="0079406A" w14:paraId="577C7B17" w14:textId="77777777" w:rsidTr="0093520D">
        <w:trPr>
          <w:trHeight w:val="979"/>
        </w:trPr>
        <w:tc>
          <w:tcPr>
            <w:tcW w:w="534" w:type="dxa"/>
          </w:tcPr>
          <w:p w14:paraId="4FFABFDE" w14:textId="3E60436E" w:rsidR="0079406A" w:rsidRDefault="00815E89" w:rsidP="008D73C5">
            <w:pPr>
              <w:rPr>
                <w:b/>
                <w:bCs/>
                <w:sz w:val="22"/>
              </w:rPr>
            </w:pPr>
            <w:r>
              <w:rPr>
                <w:b/>
                <w:bCs/>
                <w:sz w:val="22"/>
              </w:rPr>
              <w:lastRenderedPageBreak/>
              <w:t>6</w:t>
            </w:r>
          </w:p>
          <w:p w14:paraId="619F7C64" w14:textId="77777777" w:rsidR="00A5407C" w:rsidRDefault="00A5407C" w:rsidP="008D73C5">
            <w:pPr>
              <w:rPr>
                <w:b/>
                <w:bCs/>
                <w:sz w:val="22"/>
              </w:rPr>
            </w:pPr>
          </w:p>
          <w:p w14:paraId="3E73F2E0" w14:textId="77777777" w:rsidR="00D87716" w:rsidRDefault="00D87716" w:rsidP="00A5407C">
            <w:pPr>
              <w:rPr>
                <w:b/>
                <w:bCs/>
                <w:sz w:val="22"/>
              </w:rPr>
            </w:pPr>
          </w:p>
          <w:p w14:paraId="01396075" w14:textId="77777777" w:rsidR="00A5407C" w:rsidRPr="00963CE9" w:rsidRDefault="00A5407C" w:rsidP="0093520D">
            <w:pPr>
              <w:rPr>
                <w:b/>
                <w:bCs/>
                <w:sz w:val="22"/>
              </w:rPr>
            </w:pPr>
          </w:p>
        </w:tc>
        <w:tc>
          <w:tcPr>
            <w:tcW w:w="1417" w:type="dxa"/>
          </w:tcPr>
          <w:p w14:paraId="11361D42" w14:textId="4392B2AF"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3573CE">
              <w:rPr>
                <w:b/>
                <w:bCs/>
                <w:sz w:val="22"/>
              </w:rPr>
              <w:t>6</w:t>
            </w:r>
          </w:p>
          <w:p w14:paraId="640D1BA8" w14:textId="77777777" w:rsidR="0079406A" w:rsidRDefault="0079406A" w:rsidP="008D73C5">
            <w:pPr>
              <w:rPr>
                <w:sz w:val="22"/>
                <w:szCs w:val="20"/>
              </w:rPr>
            </w:pPr>
          </w:p>
          <w:p w14:paraId="65EAE797" w14:textId="77777777" w:rsidR="0079406A" w:rsidRDefault="0079406A" w:rsidP="008D73C5">
            <w:pPr>
              <w:rPr>
                <w:sz w:val="22"/>
                <w:szCs w:val="20"/>
              </w:rPr>
            </w:pPr>
            <w:r>
              <w:rPr>
                <w:sz w:val="22"/>
                <w:szCs w:val="20"/>
              </w:rPr>
              <w:t>6.1</w:t>
            </w:r>
          </w:p>
          <w:p w14:paraId="52F0A111" w14:textId="77777777" w:rsidR="00A730ED" w:rsidRDefault="00A730ED" w:rsidP="008D73C5">
            <w:pPr>
              <w:rPr>
                <w:sz w:val="22"/>
                <w:szCs w:val="20"/>
              </w:rPr>
            </w:pPr>
          </w:p>
          <w:p w14:paraId="745FDBAB" w14:textId="77777777" w:rsidR="00A730ED" w:rsidRDefault="00A730ED" w:rsidP="008D73C5">
            <w:pPr>
              <w:rPr>
                <w:sz w:val="22"/>
                <w:szCs w:val="20"/>
              </w:rPr>
            </w:pPr>
          </w:p>
          <w:p w14:paraId="1C7B2ECD" w14:textId="77777777" w:rsidR="00A730ED" w:rsidRDefault="00A730ED" w:rsidP="008D73C5">
            <w:pPr>
              <w:rPr>
                <w:sz w:val="22"/>
                <w:szCs w:val="20"/>
              </w:rPr>
            </w:pPr>
          </w:p>
          <w:p w14:paraId="3CBF35BB" w14:textId="77777777" w:rsidR="00A730ED" w:rsidRDefault="00A730ED" w:rsidP="008D73C5">
            <w:pPr>
              <w:rPr>
                <w:sz w:val="22"/>
                <w:szCs w:val="20"/>
              </w:rPr>
            </w:pPr>
          </w:p>
          <w:p w14:paraId="0E7D16CF" w14:textId="77777777" w:rsidR="00A730ED" w:rsidRDefault="00A730ED" w:rsidP="008D73C5">
            <w:pPr>
              <w:rPr>
                <w:sz w:val="22"/>
                <w:szCs w:val="20"/>
              </w:rPr>
            </w:pPr>
          </w:p>
          <w:p w14:paraId="6FE0CECD" w14:textId="77777777" w:rsidR="00A730ED" w:rsidRDefault="00A730ED" w:rsidP="008D73C5">
            <w:pPr>
              <w:rPr>
                <w:sz w:val="22"/>
                <w:szCs w:val="20"/>
              </w:rPr>
            </w:pPr>
          </w:p>
          <w:p w14:paraId="0DE5A615" w14:textId="77777777" w:rsidR="006B42FC" w:rsidRDefault="006B42FC" w:rsidP="008D73C5">
            <w:pPr>
              <w:rPr>
                <w:sz w:val="22"/>
                <w:szCs w:val="20"/>
              </w:rPr>
            </w:pPr>
          </w:p>
          <w:p w14:paraId="3E212395" w14:textId="77777777" w:rsidR="006B42FC" w:rsidRDefault="006B42FC" w:rsidP="008D73C5">
            <w:pPr>
              <w:rPr>
                <w:sz w:val="22"/>
                <w:szCs w:val="20"/>
              </w:rPr>
            </w:pPr>
          </w:p>
          <w:p w14:paraId="185EEE90" w14:textId="77777777" w:rsidR="006B42FC" w:rsidRDefault="006B42FC" w:rsidP="008D73C5">
            <w:pPr>
              <w:rPr>
                <w:sz w:val="22"/>
                <w:szCs w:val="20"/>
              </w:rPr>
            </w:pPr>
          </w:p>
          <w:p w14:paraId="0CF2BF37" w14:textId="77777777" w:rsidR="006B42FC" w:rsidRDefault="006B42FC" w:rsidP="008D73C5">
            <w:pPr>
              <w:rPr>
                <w:sz w:val="22"/>
                <w:szCs w:val="20"/>
              </w:rPr>
            </w:pPr>
          </w:p>
          <w:p w14:paraId="579E5D99" w14:textId="77777777" w:rsidR="006B42FC" w:rsidRDefault="006B42FC" w:rsidP="008D73C5">
            <w:pPr>
              <w:rPr>
                <w:sz w:val="22"/>
                <w:szCs w:val="20"/>
              </w:rPr>
            </w:pPr>
          </w:p>
          <w:p w14:paraId="7F890EC5" w14:textId="77777777" w:rsidR="00B84890" w:rsidRDefault="00B84890" w:rsidP="008D73C5">
            <w:pPr>
              <w:rPr>
                <w:sz w:val="22"/>
                <w:szCs w:val="20"/>
              </w:rPr>
            </w:pPr>
          </w:p>
          <w:p w14:paraId="48089447" w14:textId="77777777" w:rsidR="00B84890" w:rsidRDefault="00B84890" w:rsidP="008D73C5">
            <w:pPr>
              <w:rPr>
                <w:sz w:val="22"/>
                <w:szCs w:val="20"/>
              </w:rPr>
            </w:pPr>
          </w:p>
          <w:p w14:paraId="0C2D3340" w14:textId="77777777" w:rsidR="00B84890" w:rsidRDefault="00B84890" w:rsidP="008D73C5">
            <w:pPr>
              <w:rPr>
                <w:sz w:val="22"/>
                <w:szCs w:val="20"/>
              </w:rPr>
            </w:pPr>
          </w:p>
          <w:p w14:paraId="3D13CE5B" w14:textId="77777777" w:rsidR="00B84890" w:rsidRDefault="00B84890" w:rsidP="008D73C5">
            <w:pPr>
              <w:rPr>
                <w:sz w:val="22"/>
                <w:szCs w:val="20"/>
              </w:rPr>
            </w:pPr>
          </w:p>
          <w:p w14:paraId="3BE04410" w14:textId="77777777" w:rsidR="00B84890" w:rsidRDefault="00B84890" w:rsidP="008D73C5">
            <w:pPr>
              <w:rPr>
                <w:sz w:val="22"/>
                <w:szCs w:val="20"/>
              </w:rPr>
            </w:pPr>
          </w:p>
          <w:p w14:paraId="259FECD6" w14:textId="77777777" w:rsidR="00B84890" w:rsidRDefault="00B84890" w:rsidP="008D73C5">
            <w:pPr>
              <w:rPr>
                <w:sz w:val="22"/>
                <w:szCs w:val="20"/>
              </w:rPr>
            </w:pPr>
          </w:p>
          <w:p w14:paraId="034D8B1D" w14:textId="77777777" w:rsidR="00B84890" w:rsidRDefault="00B84890" w:rsidP="008D73C5">
            <w:pPr>
              <w:rPr>
                <w:sz w:val="22"/>
                <w:szCs w:val="20"/>
              </w:rPr>
            </w:pPr>
          </w:p>
          <w:p w14:paraId="50DE81F2" w14:textId="77777777" w:rsidR="00B84890" w:rsidRDefault="00B84890" w:rsidP="008D73C5">
            <w:pPr>
              <w:rPr>
                <w:sz w:val="22"/>
                <w:szCs w:val="20"/>
              </w:rPr>
            </w:pPr>
          </w:p>
          <w:p w14:paraId="032BF36B" w14:textId="77777777" w:rsidR="00B84890" w:rsidRDefault="00B84890" w:rsidP="008D73C5">
            <w:pPr>
              <w:rPr>
                <w:sz w:val="22"/>
                <w:szCs w:val="20"/>
              </w:rPr>
            </w:pPr>
          </w:p>
          <w:p w14:paraId="4825F376" w14:textId="77777777" w:rsidR="00B84890" w:rsidRDefault="00B84890" w:rsidP="008D73C5">
            <w:pPr>
              <w:rPr>
                <w:sz w:val="22"/>
                <w:szCs w:val="20"/>
              </w:rPr>
            </w:pPr>
          </w:p>
          <w:p w14:paraId="72F9DA6C" w14:textId="77777777" w:rsidR="00B84890" w:rsidRDefault="00B84890" w:rsidP="008D73C5">
            <w:pPr>
              <w:rPr>
                <w:sz w:val="22"/>
                <w:szCs w:val="20"/>
              </w:rPr>
            </w:pPr>
          </w:p>
          <w:p w14:paraId="763D48EF" w14:textId="77777777" w:rsidR="00B84890" w:rsidRDefault="00B84890" w:rsidP="008D73C5">
            <w:pPr>
              <w:rPr>
                <w:sz w:val="22"/>
                <w:szCs w:val="20"/>
              </w:rPr>
            </w:pPr>
          </w:p>
          <w:p w14:paraId="2823E1A7" w14:textId="77777777" w:rsidR="00B84890" w:rsidRDefault="00B84890" w:rsidP="008D73C5">
            <w:pPr>
              <w:rPr>
                <w:sz w:val="22"/>
                <w:szCs w:val="20"/>
              </w:rPr>
            </w:pPr>
          </w:p>
          <w:p w14:paraId="03947BA5" w14:textId="77777777" w:rsidR="00B84890" w:rsidRDefault="00B84890" w:rsidP="008D73C5">
            <w:pPr>
              <w:rPr>
                <w:sz w:val="22"/>
                <w:szCs w:val="20"/>
              </w:rPr>
            </w:pPr>
          </w:p>
          <w:p w14:paraId="71798E65" w14:textId="77777777" w:rsidR="006B42FC" w:rsidRDefault="006B42FC" w:rsidP="008D73C5">
            <w:pPr>
              <w:rPr>
                <w:sz w:val="22"/>
                <w:szCs w:val="20"/>
              </w:rPr>
            </w:pPr>
          </w:p>
          <w:p w14:paraId="5F58B465" w14:textId="77777777" w:rsidR="006B42FC" w:rsidRDefault="006B42FC" w:rsidP="008D73C5">
            <w:pPr>
              <w:rPr>
                <w:sz w:val="22"/>
                <w:szCs w:val="20"/>
              </w:rPr>
            </w:pPr>
          </w:p>
          <w:p w14:paraId="690D82B2" w14:textId="77777777" w:rsidR="006B42FC" w:rsidRDefault="006B42FC" w:rsidP="008D73C5">
            <w:pPr>
              <w:rPr>
                <w:sz w:val="22"/>
                <w:szCs w:val="20"/>
              </w:rPr>
            </w:pPr>
          </w:p>
          <w:p w14:paraId="1C4C0FF3" w14:textId="77777777" w:rsidR="00C04F65" w:rsidRDefault="00C04F65" w:rsidP="008D73C5">
            <w:pPr>
              <w:rPr>
                <w:sz w:val="22"/>
                <w:szCs w:val="20"/>
              </w:rPr>
            </w:pPr>
          </w:p>
          <w:p w14:paraId="1E6A72E1" w14:textId="77777777" w:rsidR="00A730ED" w:rsidRDefault="00A730ED" w:rsidP="008D73C5">
            <w:pPr>
              <w:rPr>
                <w:sz w:val="22"/>
                <w:szCs w:val="20"/>
              </w:rPr>
            </w:pPr>
            <w:r>
              <w:rPr>
                <w:sz w:val="22"/>
                <w:szCs w:val="20"/>
              </w:rPr>
              <w:t>6.2</w:t>
            </w:r>
          </w:p>
          <w:p w14:paraId="74C5E47F" w14:textId="77777777" w:rsidR="00A730ED" w:rsidRDefault="00A730ED" w:rsidP="008D73C5">
            <w:pPr>
              <w:rPr>
                <w:sz w:val="22"/>
                <w:szCs w:val="20"/>
              </w:rPr>
            </w:pPr>
          </w:p>
          <w:p w14:paraId="1AB7F1E8" w14:textId="77777777" w:rsidR="00A730ED" w:rsidRDefault="00A730ED" w:rsidP="008D73C5">
            <w:pPr>
              <w:rPr>
                <w:sz w:val="22"/>
                <w:szCs w:val="20"/>
              </w:rPr>
            </w:pPr>
          </w:p>
          <w:p w14:paraId="1DC806C8" w14:textId="77777777" w:rsidR="00A730ED" w:rsidRDefault="00A730ED" w:rsidP="008D73C5">
            <w:pPr>
              <w:rPr>
                <w:sz w:val="22"/>
                <w:szCs w:val="20"/>
              </w:rPr>
            </w:pPr>
          </w:p>
          <w:p w14:paraId="1DB8F4A9" w14:textId="77777777" w:rsidR="00A730ED" w:rsidRDefault="00A730ED" w:rsidP="008D73C5">
            <w:pPr>
              <w:rPr>
                <w:sz w:val="22"/>
                <w:szCs w:val="20"/>
              </w:rPr>
            </w:pPr>
          </w:p>
          <w:p w14:paraId="43A15AFB" w14:textId="77777777" w:rsidR="00D26075" w:rsidRDefault="00D26075" w:rsidP="008D73C5">
            <w:pPr>
              <w:rPr>
                <w:sz w:val="22"/>
                <w:szCs w:val="20"/>
              </w:rPr>
            </w:pPr>
          </w:p>
          <w:p w14:paraId="202C1F95" w14:textId="77777777" w:rsidR="00D26075" w:rsidRDefault="00D26075" w:rsidP="008D73C5">
            <w:pPr>
              <w:rPr>
                <w:sz w:val="22"/>
                <w:szCs w:val="20"/>
              </w:rPr>
            </w:pPr>
          </w:p>
          <w:p w14:paraId="57C46D25" w14:textId="77777777" w:rsidR="00D26075" w:rsidRDefault="00D26075" w:rsidP="008D73C5">
            <w:pPr>
              <w:rPr>
                <w:sz w:val="22"/>
                <w:szCs w:val="20"/>
              </w:rPr>
            </w:pPr>
          </w:p>
          <w:p w14:paraId="259C125D" w14:textId="77777777" w:rsidR="00D26075" w:rsidRDefault="00D26075" w:rsidP="008D73C5">
            <w:pPr>
              <w:rPr>
                <w:sz w:val="22"/>
                <w:szCs w:val="20"/>
              </w:rPr>
            </w:pPr>
          </w:p>
          <w:p w14:paraId="6F793F2B" w14:textId="77777777" w:rsidR="00D26075" w:rsidRDefault="00D26075" w:rsidP="008D73C5">
            <w:pPr>
              <w:rPr>
                <w:sz w:val="22"/>
                <w:szCs w:val="20"/>
              </w:rPr>
            </w:pPr>
          </w:p>
          <w:p w14:paraId="1979361B" w14:textId="77777777" w:rsidR="00D26075" w:rsidRDefault="00D26075" w:rsidP="008D73C5">
            <w:pPr>
              <w:rPr>
                <w:sz w:val="22"/>
                <w:szCs w:val="20"/>
              </w:rPr>
            </w:pPr>
          </w:p>
          <w:p w14:paraId="139BF0C4" w14:textId="77777777" w:rsidR="00F67352" w:rsidRDefault="00F67352" w:rsidP="008D73C5">
            <w:pPr>
              <w:rPr>
                <w:sz w:val="22"/>
                <w:szCs w:val="20"/>
              </w:rPr>
            </w:pPr>
          </w:p>
          <w:p w14:paraId="60703D22" w14:textId="77777777" w:rsidR="00F67352" w:rsidRDefault="00F67352" w:rsidP="008D73C5">
            <w:pPr>
              <w:rPr>
                <w:sz w:val="22"/>
                <w:szCs w:val="20"/>
              </w:rPr>
            </w:pPr>
          </w:p>
          <w:p w14:paraId="15D149FF" w14:textId="77777777" w:rsidR="00F67352" w:rsidRDefault="00F67352" w:rsidP="008D73C5">
            <w:pPr>
              <w:rPr>
                <w:sz w:val="22"/>
                <w:szCs w:val="20"/>
              </w:rPr>
            </w:pPr>
          </w:p>
          <w:p w14:paraId="73ABE314" w14:textId="77777777" w:rsidR="00A730ED" w:rsidRDefault="00A730ED" w:rsidP="008D73C5">
            <w:pPr>
              <w:rPr>
                <w:sz w:val="22"/>
                <w:szCs w:val="20"/>
              </w:rPr>
            </w:pPr>
          </w:p>
          <w:p w14:paraId="2433635D" w14:textId="6277AC3E" w:rsidR="00A730ED" w:rsidRDefault="00A730ED" w:rsidP="008D73C5">
            <w:pPr>
              <w:rPr>
                <w:sz w:val="22"/>
                <w:szCs w:val="20"/>
              </w:rPr>
            </w:pPr>
            <w:r>
              <w:rPr>
                <w:sz w:val="22"/>
                <w:szCs w:val="20"/>
              </w:rPr>
              <w:t>6.3</w:t>
            </w:r>
          </w:p>
          <w:p w14:paraId="7FC36F0F" w14:textId="77777777" w:rsidR="00D7583D" w:rsidRDefault="00D7583D" w:rsidP="008D73C5">
            <w:pPr>
              <w:rPr>
                <w:sz w:val="22"/>
                <w:szCs w:val="20"/>
              </w:rPr>
            </w:pPr>
          </w:p>
          <w:p w14:paraId="2CCB2BDE" w14:textId="77777777" w:rsidR="00E00DEE" w:rsidRDefault="00E00DEE" w:rsidP="008D73C5">
            <w:pPr>
              <w:rPr>
                <w:sz w:val="22"/>
                <w:szCs w:val="20"/>
              </w:rPr>
            </w:pPr>
          </w:p>
          <w:p w14:paraId="50D9FD56" w14:textId="77777777" w:rsidR="005E7BAC" w:rsidRDefault="005E7BAC" w:rsidP="008D73C5">
            <w:pPr>
              <w:rPr>
                <w:sz w:val="22"/>
                <w:szCs w:val="20"/>
              </w:rPr>
            </w:pPr>
          </w:p>
          <w:p w14:paraId="55D8A09C" w14:textId="77777777" w:rsidR="005E7BAC" w:rsidRDefault="005E7BAC" w:rsidP="008D73C5">
            <w:pPr>
              <w:rPr>
                <w:sz w:val="22"/>
                <w:szCs w:val="20"/>
              </w:rPr>
            </w:pPr>
          </w:p>
          <w:p w14:paraId="72966EBD" w14:textId="77777777" w:rsidR="005E7BAC" w:rsidRDefault="005E7BAC" w:rsidP="008D73C5">
            <w:pPr>
              <w:rPr>
                <w:sz w:val="22"/>
                <w:szCs w:val="20"/>
              </w:rPr>
            </w:pPr>
          </w:p>
          <w:p w14:paraId="10234259" w14:textId="77777777" w:rsidR="005E7BAC" w:rsidRDefault="005E7BAC" w:rsidP="008D73C5">
            <w:pPr>
              <w:rPr>
                <w:sz w:val="22"/>
                <w:szCs w:val="20"/>
              </w:rPr>
            </w:pPr>
          </w:p>
          <w:p w14:paraId="33B50336" w14:textId="77777777" w:rsidR="005E7BAC" w:rsidRDefault="005E7BAC" w:rsidP="008D73C5">
            <w:pPr>
              <w:rPr>
                <w:sz w:val="22"/>
                <w:szCs w:val="20"/>
              </w:rPr>
            </w:pPr>
          </w:p>
          <w:p w14:paraId="4248EEE8" w14:textId="77777777" w:rsidR="005E7BAC" w:rsidRDefault="005E7BAC" w:rsidP="008D73C5">
            <w:pPr>
              <w:rPr>
                <w:sz w:val="22"/>
                <w:szCs w:val="20"/>
              </w:rPr>
            </w:pPr>
          </w:p>
          <w:p w14:paraId="03020E48" w14:textId="77777777" w:rsidR="005E7BAC" w:rsidRDefault="005E7BAC" w:rsidP="008D73C5">
            <w:pPr>
              <w:rPr>
                <w:sz w:val="22"/>
                <w:szCs w:val="20"/>
              </w:rPr>
            </w:pPr>
          </w:p>
          <w:p w14:paraId="00EA8506" w14:textId="77777777" w:rsidR="005E7BAC" w:rsidRDefault="005E7BAC" w:rsidP="008D73C5">
            <w:pPr>
              <w:rPr>
                <w:sz w:val="22"/>
                <w:szCs w:val="20"/>
              </w:rPr>
            </w:pPr>
          </w:p>
          <w:p w14:paraId="3FFDF8BF" w14:textId="77777777" w:rsidR="005E7BAC" w:rsidRDefault="005E7BAC" w:rsidP="008D73C5">
            <w:pPr>
              <w:rPr>
                <w:sz w:val="22"/>
                <w:szCs w:val="20"/>
              </w:rPr>
            </w:pPr>
          </w:p>
          <w:p w14:paraId="689E63EF" w14:textId="77777777" w:rsidR="00D23312" w:rsidRDefault="00D23312" w:rsidP="008D73C5">
            <w:pPr>
              <w:rPr>
                <w:sz w:val="22"/>
                <w:szCs w:val="20"/>
              </w:rPr>
            </w:pPr>
          </w:p>
          <w:p w14:paraId="1F6CC4F5" w14:textId="77777777" w:rsidR="00D23312" w:rsidRDefault="00D23312" w:rsidP="008D73C5">
            <w:pPr>
              <w:rPr>
                <w:sz w:val="22"/>
                <w:szCs w:val="20"/>
              </w:rPr>
            </w:pPr>
          </w:p>
          <w:p w14:paraId="2ACCAB85" w14:textId="77777777" w:rsidR="00D23312" w:rsidRDefault="00D23312" w:rsidP="008D73C5">
            <w:pPr>
              <w:rPr>
                <w:sz w:val="22"/>
                <w:szCs w:val="20"/>
              </w:rPr>
            </w:pPr>
          </w:p>
          <w:p w14:paraId="08DCCFDB" w14:textId="77777777" w:rsidR="00D23312" w:rsidRDefault="00D23312" w:rsidP="008D73C5">
            <w:pPr>
              <w:rPr>
                <w:sz w:val="22"/>
                <w:szCs w:val="20"/>
              </w:rPr>
            </w:pPr>
          </w:p>
          <w:p w14:paraId="1A1EC36D" w14:textId="77777777" w:rsidR="00D23312" w:rsidRDefault="00D23312" w:rsidP="008D73C5">
            <w:pPr>
              <w:rPr>
                <w:sz w:val="22"/>
                <w:szCs w:val="20"/>
              </w:rPr>
            </w:pPr>
          </w:p>
          <w:p w14:paraId="293BEF49" w14:textId="77777777" w:rsidR="00D23312" w:rsidRDefault="00D23312" w:rsidP="008D73C5">
            <w:pPr>
              <w:rPr>
                <w:sz w:val="22"/>
                <w:szCs w:val="20"/>
              </w:rPr>
            </w:pPr>
          </w:p>
          <w:p w14:paraId="7B579051" w14:textId="77777777" w:rsidR="00D23312" w:rsidRDefault="00D23312" w:rsidP="008D73C5">
            <w:pPr>
              <w:rPr>
                <w:sz w:val="22"/>
                <w:szCs w:val="20"/>
              </w:rPr>
            </w:pPr>
          </w:p>
          <w:p w14:paraId="69487A98" w14:textId="77777777" w:rsidR="00D23312" w:rsidRDefault="00D23312" w:rsidP="008D73C5">
            <w:pPr>
              <w:rPr>
                <w:sz w:val="22"/>
                <w:szCs w:val="20"/>
              </w:rPr>
            </w:pPr>
          </w:p>
          <w:p w14:paraId="1C940D23" w14:textId="77777777" w:rsidR="00D23312" w:rsidRDefault="00D23312" w:rsidP="008D73C5">
            <w:pPr>
              <w:rPr>
                <w:sz w:val="22"/>
                <w:szCs w:val="20"/>
              </w:rPr>
            </w:pPr>
          </w:p>
          <w:p w14:paraId="76C8AB1D" w14:textId="77777777" w:rsidR="00D23312" w:rsidRDefault="00D23312" w:rsidP="008D73C5">
            <w:pPr>
              <w:rPr>
                <w:sz w:val="22"/>
                <w:szCs w:val="20"/>
              </w:rPr>
            </w:pPr>
          </w:p>
          <w:p w14:paraId="0D3C7F64" w14:textId="77777777" w:rsidR="005E7BAC" w:rsidRDefault="005E7BAC" w:rsidP="008D73C5">
            <w:pPr>
              <w:rPr>
                <w:sz w:val="22"/>
                <w:szCs w:val="20"/>
              </w:rPr>
            </w:pPr>
          </w:p>
          <w:p w14:paraId="2E5D2493" w14:textId="77777777" w:rsidR="00C04F65" w:rsidRDefault="00C04F65" w:rsidP="008D73C5">
            <w:pPr>
              <w:rPr>
                <w:sz w:val="22"/>
                <w:szCs w:val="20"/>
              </w:rPr>
            </w:pPr>
          </w:p>
          <w:p w14:paraId="13652BB2" w14:textId="77777777" w:rsidR="0079406A" w:rsidRDefault="0079406A" w:rsidP="001A7AA3">
            <w:pPr>
              <w:rPr>
                <w:sz w:val="22"/>
                <w:szCs w:val="20"/>
              </w:rPr>
            </w:pPr>
          </w:p>
          <w:p w14:paraId="649AE137" w14:textId="77777777" w:rsidR="00A07811" w:rsidRDefault="00A07811" w:rsidP="001A7AA3">
            <w:pPr>
              <w:rPr>
                <w:sz w:val="22"/>
                <w:szCs w:val="20"/>
              </w:rPr>
            </w:pPr>
            <w:r>
              <w:rPr>
                <w:sz w:val="22"/>
                <w:szCs w:val="20"/>
              </w:rPr>
              <w:t>6.4</w:t>
            </w:r>
          </w:p>
          <w:p w14:paraId="24BEE348" w14:textId="77777777" w:rsidR="00A07811" w:rsidRDefault="00A07811" w:rsidP="001A7AA3">
            <w:pPr>
              <w:rPr>
                <w:sz w:val="22"/>
                <w:szCs w:val="20"/>
              </w:rPr>
            </w:pPr>
          </w:p>
          <w:p w14:paraId="4A221500" w14:textId="77777777" w:rsidR="00A07811" w:rsidRDefault="00A07811" w:rsidP="001A7AA3">
            <w:pPr>
              <w:rPr>
                <w:sz w:val="22"/>
                <w:szCs w:val="20"/>
              </w:rPr>
            </w:pPr>
          </w:p>
          <w:p w14:paraId="188C84A8" w14:textId="77777777" w:rsidR="00A07811" w:rsidRDefault="00A07811" w:rsidP="001A7AA3">
            <w:pPr>
              <w:rPr>
                <w:sz w:val="22"/>
                <w:szCs w:val="20"/>
              </w:rPr>
            </w:pPr>
          </w:p>
          <w:p w14:paraId="61C9EAD5" w14:textId="77777777" w:rsidR="00A07811" w:rsidRDefault="00A07811" w:rsidP="001A7AA3">
            <w:pPr>
              <w:rPr>
                <w:sz w:val="22"/>
                <w:szCs w:val="20"/>
              </w:rPr>
            </w:pPr>
          </w:p>
          <w:p w14:paraId="500DDC29" w14:textId="77777777" w:rsidR="00A07811" w:rsidRDefault="00A07811" w:rsidP="001A7AA3">
            <w:pPr>
              <w:rPr>
                <w:sz w:val="22"/>
                <w:szCs w:val="20"/>
              </w:rPr>
            </w:pPr>
          </w:p>
          <w:p w14:paraId="3EC40077" w14:textId="77777777" w:rsidR="00A86A17" w:rsidRDefault="00A86A17" w:rsidP="001A7AA3">
            <w:pPr>
              <w:rPr>
                <w:sz w:val="22"/>
                <w:szCs w:val="20"/>
              </w:rPr>
            </w:pPr>
          </w:p>
          <w:p w14:paraId="00529A78" w14:textId="77777777" w:rsidR="00A86A17" w:rsidRDefault="00A86A17" w:rsidP="001A7AA3">
            <w:pPr>
              <w:rPr>
                <w:sz w:val="22"/>
                <w:szCs w:val="20"/>
              </w:rPr>
            </w:pPr>
          </w:p>
          <w:p w14:paraId="7BFC9AC6" w14:textId="77777777" w:rsidR="00A86A17" w:rsidRDefault="00A86A17" w:rsidP="001A7AA3">
            <w:pPr>
              <w:rPr>
                <w:sz w:val="22"/>
                <w:szCs w:val="20"/>
              </w:rPr>
            </w:pPr>
          </w:p>
          <w:p w14:paraId="24CA8C14" w14:textId="77777777" w:rsidR="00A86A17" w:rsidRDefault="00A86A17" w:rsidP="001A7AA3">
            <w:pPr>
              <w:rPr>
                <w:sz w:val="22"/>
                <w:szCs w:val="20"/>
              </w:rPr>
            </w:pPr>
          </w:p>
          <w:p w14:paraId="096C9D95" w14:textId="77777777" w:rsidR="00A86A17" w:rsidRDefault="00A86A17" w:rsidP="001A7AA3">
            <w:pPr>
              <w:rPr>
                <w:sz w:val="22"/>
                <w:szCs w:val="20"/>
              </w:rPr>
            </w:pPr>
          </w:p>
          <w:p w14:paraId="26E60717" w14:textId="77777777" w:rsidR="00A86A17" w:rsidRDefault="00A86A17" w:rsidP="001A7AA3">
            <w:pPr>
              <w:rPr>
                <w:sz w:val="22"/>
                <w:szCs w:val="20"/>
              </w:rPr>
            </w:pPr>
          </w:p>
          <w:p w14:paraId="61AACC67" w14:textId="77777777" w:rsidR="00A86A17" w:rsidRDefault="00A86A17" w:rsidP="001A7AA3">
            <w:pPr>
              <w:rPr>
                <w:sz w:val="22"/>
                <w:szCs w:val="20"/>
              </w:rPr>
            </w:pPr>
          </w:p>
          <w:p w14:paraId="70707D75" w14:textId="77777777" w:rsidR="00A86A17" w:rsidRDefault="00A86A17" w:rsidP="001A7AA3">
            <w:pPr>
              <w:rPr>
                <w:sz w:val="22"/>
                <w:szCs w:val="20"/>
              </w:rPr>
            </w:pPr>
          </w:p>
          <w:p w14:paraId="2689DCE1" w14:textId="77777777" w:rsidR="00A86A17" w:rsidRDefault="00A86A17" w:rsidP="001A7AA3">
            <w:pPr>
              <w:rPr>
                <w:sz w:val="22"/>
                <w:szCs w:val="20"/>
              </w:rPr>
            </w:pPr>
          </w:p>
          <w:p w14:paraId="11EB6275" w14:textId="77777777" w:rsidR="00A86A17" w:rsidRDefault="00A86A17" w:rsidP="001A7AA3">
            <w:pPr>
              <w:rPr>
                <w:sz w:val="22"/>
                <w:szCs w:val="20"/>
              </w:rPr>
            </w:pPr>
          </w:p>
          <w:p w14:paraId="0E2CD742" w14:textId="77777777" w:rsidR="00A86A17" w:rsidRDefault="00A86A17" w:rsidP="001A7AA3">
            <w:pPr>
              <w:rPr>
                <w:sz w:val="22"/>
                <w:szCs w:val="20"/>
              </w:rPr>
            </w:pPr>
          </w:p>
          <w:p w14:paraId="694AADA8" w14:textId="77777777" w:rsidR="00A86A17" w:rsidRDefault="00A86A17" w:rsidP="001A7AA3">
            <w:pPr>
              <w:rPr>
                <w:sz w:val="22"/>
                <w:szCs w:val="20"/>
              </w:rPr>
            </w:pPr>
          </w:p>
          <w:p w14:paraId="70F4E616" w14:textId="77777777" w:rsidR="00A86A17" w:rsidRDefault="00A86A17" w:rsidP="001A7AA3">
            <w:pPr>
              <w:rPr>
                <w:sz w:val="22"/>
                <w:szCs w:val="20"/>
              </w:rPr>
            </w:pPr>
          </w:p>
          <w:p w14:paraId="7E2BD4F2" w14:textId="77777777" w:rsidR="00A86A17" w:rsidRDefault="00A86A17" w:rsidP="001A7AA3">
            <w:pPr>
              <w:rPr>
                <w:sz w:val="22"/>
                <w:szCs w:val="20"/>
              </w:rPr>
            </w:pPr>
          </w:p>
          <w:p w14:paraId="72954AF6" w14:textId="77777777" w:rsidR="00A86A17" w:rsidRDefault="00A86A17" w:rsidP="001A7AA3">
            <w:pPr>
              <w:rPr>
                <w:sz w:val="22"/>
                <w:szCs w:val="20"/>
              </w:rPr>
            </w:pPr>
          </w:p>
          <w:p w14:paraId="6469B3BB" w14:textId="77777777" w:rsidR="00A86A17" w:rsidRDefault="00A86A17" w:rsidP="001A7AA3">
            <w:pPr>
              <w:rPr>
                <w:sz w:val="22"/>
                <w:szCs w:val="20"/>
              </w:rPr>
            </w:pPr>
          </w:p>
          <w:p w14:paraId="4620EA38" w14:textId="77777777" w:rsidR="00A86A17" w:rsidRDefault="00A86A17" w:rsidP="001A7AA3">
            <w:pPr>
              <w:rPr>
                <w:sz w:val="22"/>
                <w:szCs w:val="20"/>
              </w:rPr>
            </w:pPr>
          </w:p>
          <w:p w14:paraId="77C645A6" w14:textId="77777777" w:rsidR="00A86A17" w:rsidRDefault="00A86A17" w:rsidP="001A7AA3">
            <w:pPr>
              <w:rPr>
                <w:sz w:val="22"/>
                <w:szCs w:val="20"/>
              </w:rPr>
            </w:pPr>
          </w:p>
          <w:p w14:paraId="0C6AF34F" w14:textId="77777777" w:rsidR="00A86A17" w:rsidRDefault="00A86A17" w:rsidP="001A7AA3">
            <w:pPr>
              <w:rPr>
                <w:sz w:val="22"/>
                <w:szCs w:val="20"/>
              </w:rPr>
            </w:pPr>
          </w:p>
          <w:p w14:paraId="7E04D6DE" w14:textId="77777777" w:rsidR="00A86A17" w:rsidRDefault="00A86A17" w:rsidP="001A7AA3">
            <w:pPr>
              <w:rPr>
                <w:sz w:val="22"/>
                <w:szCs w:val="20"/>
              </w:rPr>
            </w:pPr>
          </w:p>
          <w:p w14:paraId="1AB3F331" w14:textId="77777777" w:rsidR="00A86A17" w:rsidRDefault="00A86A17" w:rsidP="001A7AA3">
            <w:pPr>
              <w:rPr>
                <w:sz w:val="22"/>
                <w:szCs w:val="20"/>
              </w:rPr>
            </w:pPr>
          </w:p>
          <w:p w14:paraId="0485720D" w14:textId="77777777" w:rsidR="00A86A17" w:rsidRDefault="00A86A17" w:rsidP="001A7AA3">
            <w:pPr>
              <w:rPr>
                <w:sz w:val="22"/>
                <w:szCs w:val="20"/>
              </w:rPr>
            </w:pPr>
          </w:p>
          <w:p w14:paraId="0E7508A2" w14:textId="77777777" w:rsidR="00A86A17" w:rsidRDefault="00A86A17" w:rsidP="001A7AA3">
            <w:pPr>
              <w:rPr>
                <w:sz w:val="22"/>
                <w:szCs w:val="20"/>
              </w:rPr>
            </w:pPr>
          </w:p>
          <w:p w14:paraId="3AD8F343" w14:textId="77777777" w:rsidR="00A86A17" w:rsidRDefault="00A86A17" w:rsidP="001A7AA3">
            <w:pPr>
              <w:rPr>
                <w:sz w:val="22"/>
                <w:szCs w:val="20"/>
              </w:rPr>
            </w:pPr>
          </w:p>
          <w:p w14:paraId="2FF924F6" w14:textId="77777777" w:rsidR="00A86A17" w:rsidRDefault="00A86A17" w:rsidP="001A7AA3">
            <w:pPr>
              <w:rPr>
                <w:sz w:val="22"/>
                <w:szCs w:val="20"/>
              </w:rPr>
            </w:pPr>
          </w:p>
          <w:p w14:paraId="040BC01F" w14:textId="77777777" w:rsidR="00A86A17" w:rsidRDefault="00A86A17" w:rsidP="001A7AA3">
            <w:pPr>
              <w:rPr>
                <w:sz w:val="22"/>
                <w:szCs w:val="20"/>
              </w:rPr>
            </w:pPr>
          </w:p>
          <w:p w14:paraId="51D61511" w14:textId="77777777" w:rsidR="00A86A17" w:rsidRDefault="00A86A17" w:rsidP="001A7AA3">
            <w:pPr>
              <w:rPr>
                <w:sz w:val="22"/>
                <w:szCs w:val="20"/>
              </w:rPr>
            </w:pPr>
          </w:p>
          <w:p w14:paraId="1CF302AC" w14:textId="77777777" w:rsidR="00A86A17" w:rsidRDefault="00A86A17" w:rsidP="001A7AA3">
            <w:pPr>
              <w:rPr>
                <w:sz w:val="22"/>
                <w:szCs w:val="20"/>
              </w:rPr>
            </w:pPr>
          </w:p>
          <w:p w14:paraId="31BA3DA1" w14:textId="77777777" w:rsidR="00A86A17" w:rsidRDefault="00A86A17" w:rsidP="001A7AA3">
            <w:pPr>
              <w:rPr>
                <w:sz w:val="22"/>
                <w:szCs w:val="20"/>
              </w:rPr>
            </w:pPr>
          </w:p>
          <w:p w14:paraId="50DB055B" w14:textId="77777777" w:rsidR="00A86A17" w:rsidRDefault="00A86A17" w:rsidP="001A7AA3">
            <w:pPr>
              <w:rPr>
                <w:sz w:val="22"/>
                <w:szCs w:val="20"/>
              </w:rPr>
            </w:pPr>
          </w:p>
          <w:p w14:paraId="2D693869" w14:textId="77777777" w:rsidR="008A6E2B" w:rsidRDefault="008A6E2B" w:rsidP="001A7AA3">
            <w:pPr>
              <w:rPr>
                <w:sz w:val="22"/>
                <w:szCs w:val="20"/>
              </w:rPr>
            </w:pPr>
          </w:p>
          <w:p w14:paraId="38A5DF86" w14:textId="77777777" w:rsidR="008A6E2B" w:rsidRDefault="008A6E2B" w:rsidP="001A7AA3">
            <w:pPr>
              <w:rPr>
                <w:sz w:val="22"/>
                <w:szCs w:val="20"/>
              </w:rPr>
            </w:pPr>
          </w:p>
          <w:p w14:paraId="10BA3EB9" w14:textId="77777777" w:rsidR="002F3E04" w:rsidRDefault="002F3E04" w:rsidP="001A7AA3">
            <w:pPr>
              <w:rPr>
                <w:sz w:val="22"/>
                <w:szCs w:val="20"/>
              </w:rPr>
            </w:pPr>
          </w:p>
          <w:p w14:paraId="7D6952EA" w14:textId="77777777" w:rsidR="00A86A17" w:rsidRDefault="00A86A17" w:rsidP="001A7AA3">
            <w:pPr>
              <w:rPr>
                <w:sz w:val="22"/>
                <w:szCs w:val="20"/>
              </w:rPr>
            </w:pPr>
          </w:p>
          <w:p w14:paraId="7F8F1A4B" w14:textId="77777777" w:rsidR="008A6E2B" w:rsidRDefault="008A6E2B" w:rsidP="001A7AA3">
            <w:pPr>
              <w:rPr>
                <w:sz w:val="22"/>
                <w:szCs w:val="20"/>
              </w:rPr>
            </w:pPr>
          </w:p>
          <w:p w14:paraId="4C9ED990" w14:textId="77777777" w:rsidR="00A86A17" w:rsidRDefault="00A86A17" w:rsidP="001A7AA3">
            <w:pPr>
              <w:rPr>
                <w:sz w:val="22"/>
                <w:szCs w:val="20"/>
              </w:rPr>
            </w:pPr>
          </w:p>
          <w:p w14:paraId="095EBE2A" w14:textId="050D3B37" w:rsidR="00A86A17" w:rsidRPr="00963CE9" w:rsidRDefault="00A86A17" w:rsidP="001A7AA3">
            <w:pPr>
              <w:rPr>
                <w:sz w:val="22"/>
                <w:szCs w:val="20"/>
              </w:rPr>
            </w:pPr>
            <w:r>
              <w:rPr>
                <w:sz w:val="22"/>
                <w:szCs w:val="20"/>
              </w:rPr>
              <w:t>6.5</w:t>
            </w:r>
          </w:p>
        </w:tc>
        <w:tc>
          <w:tcPr>
            <w:tcW w:w="9037" w:type="dxa"/>
            <w:tcBorders>
              <w:top w:val="single" w:sz="4" w:space="0" w:color="auto"/>
            </w:tcBorders>
          </w:tcPr>
          <w:p w14:paraId="12B214EC" w14:textId="77777777" w:rsidR="0079406A" w:rsidRDefault="0079406A" w:rsidP="00BE7ACD">
            <w:pPr>
              <w:ind w:left="133"/>
              <w:rPr>
                <w:sz w:val="22"/>
                <w:szCs w:val="20"/>
              </w:rPr>
            </w:pPr>
            <w:r w:rsidRPr="00963CE9">
              <w:rPr>
                <w:b/>
                <w:bCs/>
                <w:sz w:val="22"/>
                <w:szCs w:val="20"/>
              </w:rPr>
              <w:lastRenderedPageBreak/>
              <w:t>FINANCE</w:t>
            </w:r>
            <w:r w:rsidRPr="00963CE9">
              <w:rPr>
                <w:sz w:val="22"/>
                <w:szCs w:val="20"/>
              </w:rPr>
              <w:t xml:space="preserve"> </w:t>
            </w:r>
          </w:p>
          <w:p w14:paraId="54D95609" w14:textId="77777777" w:rsidR="00E00DEE" w:rsidRDefault="00E00DEE" w:rsidP="00BE7ACD">
            <w:pPr>
              <w:ind w:left="133"/>
              <w:rPr>
                <w:sz w:val="22"/>
                <w:szCs w:val="22"/>
                <w:u w:val="single"/>
              </w:rPr>
            </w:pPr>
          </w:p>
          <w:p w14:paraId="30C668DE" w14:textId="55DEDED2" w:rsidR="005C52BB" w:rsidRDefault="00A730ED" w:rsidP="00BE7ACD">
            <w:pPr>
              <w:ind w:left="133"/>
              <w:rPr>
                <w:sz w:val="22"/>
                <w:szCs w:val="22"/>
                <w:u w:val="single"/>
              </w:rPr>
            </w:pPr>
            <w:r>
              <w:rPr>
                <w:sz w:val="22"/>
                <w:szCs w:val="22"/>
                <w:u w:val="single"/>
              </w:rPr>
              <w:t>Management Accounts</w:t>
            </w:r>
          </w:p>
          <w:p w14:paraId="6F10F0F9" w14:textId="77777777" w:rsidR="003157B4" w:rsidRDefault="003157B4" w:rsidP="00BE7ACD">
            <w:pPr>
              <w:ind w:left="133"/>
              <w:rPr>
                <w:sz w:val="22"/>
                <w:szCs w:val="22"/>
                <w:u w:val="single"/>
              </w:rPr>
            </w:pPr>
          </w:p>
          <w:p w14:paraId="56EB9F3C" w14:textId="77777777" w:rsidR="00A96668" w:rsidRDefault="003157B4" w:rsidP="00233D0D">
            <w:pPr>
              <w:ind w:left="176"/>
              <w:rPr>
                <w:sz w:val="22"/>
                <w:szCs w:val="22"/>
              </w:rPr>
            </w:pPr>
            <w:r w:rsidRPr="006A77EC">
              <w:rPr>
                <w:sz w:val="22"/>
                <w:szCs w:val="22"/>
              </w:rPr>
              <w:t xml:space="preserve">The Finance Director drew members’ attention to the </w:t>
            </w:r>
            <w:r w:rsidR="006A77EC" w:rsidRPr="006A77EC">
              <w:rPr>
                <w:sz w:val="22"/>
                <w:szCs w:val="22"/>
              </w:rPr>
              <w:t xml:space="preserve">April 2019 </w:t>
            </w:r>
            <w:r w:rsidR="006B42FC" w:rsidRPr="006A77EC">
              <w:rPr>
                <w:sz w:val="22"/>
                <w:szCs w:val="22"/>
              </w:rPr>
              <w:t>m</w:t>
            </w:r>
            <w:r w:rsidRPr="006A77EC">
              <w:rPr>
                <w:sz w:val="22"/>
                <w:szCs w:val="22"/>
              </w:rPr>
              <w:t xml:space="preserve">anagement </w:t>
            </w:r>
            <w:r w:rsidR="006B42FC" w:rsidRPr="006A77EC">
              <w:rPr>
                <w:sz w:val="22"/>
                <w:szCs w:val="22"/>
              </w:rPr>
              <w:t>a</w:t>
            </w:r>
            <w:r w:rsidRPr="006A77EC">
              <w:rPr>
                <w:sz w:val="22"/>
                <w:szCs w:val="22"/>
              </w:rPr>
              <w:t xml:space="preserve">ccounts and highlighted </w:t>
            </w:r>
            <w:r w:rsidR="006A77EC" w:rsidRPr="006A77EC">
              <w:rPr>
                <w:sz w:val="22"/>
                <w:szCs w:val="22"/>
              </w:rPr>
              <w:t>the inclusion of a year-end forecast outturn position to help clarify expectations in terms of financial variances</w:t>
            </w:r>
            <w:r w:rsidR="006A77EC">
              <w:rPr>
                <w:sz w:val="22"/>
                <w:szCs w:val="22"/>
              </w:rPr>
              <w:t>,</w:t>
            </w:r>
            <w:r w:rsidR="006A77EC" w:rsidRPr="006A77EC">
              <w:rPr>
                <w:sz w:val="22"/>
                <w:szCs w:val="22"/>
              </w:rPr>
              <w:t xml:space="preserve"> in line with a request from members at the previous meeting. It was noted that an additional paragraph had also been added to the management accounts commentary to further clarify the effect of variances.</w:t>
            </w:r>
            <w:r w:rsidR="006A77EC">
              <w:rPr>
                <w:sz w:val="22"/>
                <w:szCs w:val="22"/>
              </w:rPr>
              <w:t xml:space="preserve"> </w:t>
            </w:r>
          </w:p>
          <w:p w14:paraId="083844A9" w14:textId="77777777" w:rsidR="00A96668" w:rsidRDefault="00A96668" w:rsidP="00233D0D">
            <w:pPr>
              <w:ind w:left="176"/>
              <w:rPr>
                <w:sz w:val="22"/>
                <w:szCs w:val="22"/>
              </w:rPr>
            </w:pPr>
          </w:p>
          <w:p w14:paraId="71AEC475" w14:textId="10EBC895" w:rsidR="00A96668" w:rsidRDefault="006A77EC" w:rsidP="00233D0D">
            <w:pPr>
              <w:ind w:left="176"/>
              <w:rPr>
                <w:sz w:val="22"/>
                <w:szCs w:val="22"/>
              </w:rPr>
            </w:pPr>
            <w:r>
              <w:rPr>
                <w:sz w:val="22"/>
                <w:szCs w:val="22"/>
              </w:rPr>
              <w:t>The Finance Director reported that the college expected to deliver a £984K operating surplus, with a post-FRS102 reporting surplus of £202K. Members acknowledged that this improved position compared to the original budget would allow the college to further invest in its estate, IT provision and curriculum priorities. The Principal provided a summary of recent increased investment</w:t>
            </w:r>
            <w:r w:rsidR="00A96668">
              <w:rPr>
                <w:sz w:val="22"/>
                <w:szCs w:val="22"/>
              </w:rPr>
              <w:t xml:space="preserve"> and members were pleased to learn of the positive impact on many areas of college activity. This included improvements in IT infrastructure and hardware at Parson’s Walk, Leigh College and the Pagefield Centre, as well as </w:t>
            </w:r>
            <w:r w:rsidR="00D946E0">
              <w:rPr>
                <w:sz w:val="22"/>
                <w:szCs w:val="22"/>
              </w:rPr>
              <w:t>a number of</w:t>
            </w:r>
            <w:r w:rsidR="00A96668">
              <w:rPr>
                <w:sz w:val="22"/>
                <w:szCs w:val="22"/>
              </w:rPr>
              <w:t xml:space="preserve"> estates improvements, including the refurbishment of classrooms, the provision of a social area for high needs learners</w:t>
            </w:r>
            <w:r w:rsidR="00D946E0">
              <w:rPr>
                <w:sz w:val="22"/>
                <w:szCs w:val="22"/>
              </w:rPr>
              <w:t xml:space="preserve"> and general refreshing of decoration is some areas</w:t>
            </w:r>
            <w:r w:rsidR="00A96668">
              <w:rPr>
                <w:sz w:val="22"/>
                <w:szCs w:val="22"/>
              </w:rPr>
              <w:t xml:space="preserve">. </w:t>
            </w:r>
          </w:p>
          <w:p w14:paraId="0291DB1F" w14:textId="77777777" w:rsidR="00A96668" w:rsidRDefault="00A96668" w:rsidP="00233D0D">
            <w:pPr>
              <w:ind w:left="176"/>
              <w:rPr>
                <w:sz w:val="22"/>
                <w:szCs w:val="22"/>
              </w:rPr>
            </w:pPr>
          </w:p>
          <w:p w14:paraId="663F619A" w14:textId="58B3BE21" w:rsidR="00A96668" w:rsidRDefault="00A96668" w:rsidP="00233D0D">
            <w:pPr>
              <w:ind w:left="176"/>
              <w:rPr>
                <w:sz w:val="22"/>
                <w:szCs w:val="22"/>
              </w:rPr>
            </w:pPr>
            <w:r>
              <w:rPr>
                <w:sz w:val="22"/>
                <w:szCs w:val="22"/>
              </w:rPr>
              <w:t>Members asked whether the college had any sponsorship arrangements in relation to IT provision. The Principal responded that there was currently no sponsorship in place but that this would be reviewed as part of the launch of the new Digital Academy at Leigh College.</w:t>
            </w:r>
          </w:p>
          <w:p w14:paraId="2436F593" w14:textId="77777777" w:rsidR="00A96668" w:rsidRDefault="00A96668" w:rsidP="00233D0D">
            <w:pPr>
              <w:ind w:left="176"/>
              <w:rPr>
                <w:sz w:val="22"/>
                <w:szCs w:val="22"/>
              </w:rPr>
            </w:pPr>
          </w:p>
          <w:p w14:paraId="6B77D3EE" w14:textId="6F0A2EE5" w:rsidR="00A96668" w:rsidRPr="006A77EC" w:rsidRDefault="00A96668" w:rsidP="00233D0D">
            <w:pPr>
              <w:ind w:left="176"/>
              <w:rPr>
                <w:sz w:val="22"/>
                <w:szCs w:val="22"/>
              </w:rPr>
            </w:pPr>
            <w:r>
              <w:rPr>
                <w:sz w:val="22"/>
                <w:szCs w:val="22"/>
              </w:rPr>
              <w:t>The Finance Director confirmed that the college remained in compliance with its banking covenants and with its financial health assessment.</w:t>
            </w:r>
          </w:p>
          <w:p w14:paraId="1538AD98" w14:textId="77777777" w:rsidR="006A77EC" w:rsidRDefault="006A77EC" w:rsidP="00233D0D">
            <w:pPr>
              <w:ind w:left="176"/>
              <w:rPr>
                <w:color w:val="FF0000"/>
                <w:sz w:val="22"/>
                <w:szCs w:val="22"/>
              </w:rPr>
            </w:pPr>
          </w:p>
          <w:tbl>
            <w:tblPr>
              <w:tblW w:w="0" w:type="auto"/>
              <w:tblBorders>
                <w:top w:val="nil"/>
                <w:left w:val="nil"/>
                <w:bottom w:val="nil"/>
                <w:right w:val="nil"/>
              </w:tblBorders>
              <w:tblLook w:val="0000" w:firstRow="0" w:lastRow="0" w:firstColumn="0" w:lastColumn="0" w:noHBand="0" w:noVBand="0"/>
            </w:tblPr>
            <w:tblGrid>
              <w:gridCol w:w="8821"/>
            </w:tblGrid>
            <w:tr w:rsidR="00A07811" w:rsidRPr="00A07811" w14:paraId="38480AD0" w14:textId="77777777">
              <w:trPr>
                <w:trHeight w:val="2827"/>
              </w:trPr>
              <w:tc>
                <w:tcPr>
                  <w:tcW w:w="0" w:type="auto"/>
                </w:tcPr>
                <w:p w14:paraId="4A5E37A8" w14:textId="77777777" w:rsidR="00A730ED" w:rsidRPr="00795BE8" w:rsidRDefault="00A730ED" w:rsidP="0005457C">
                  <w:pPr>
                    <w:framePr w:hSpace="180" w:wrap="around" w:vAnchor="text" w:hAnchor="text" w:y="1"/>
                    <w:suppressOverlap/>
                    <w:rPr>
                      <w:b/>
                      <w:sz w:val="22"/>
                      <w:szCs w:val="22"/>
                    </w:rPr>
                  </w:pPr>
                  <w:r w:rsidRPr="00795BE8">
                    <w:rPr>
                      <w:b/>
                      <w:sz w:val="22"/>
                      <w:szCs w:val="22"/>
                    </w:rPr>
                    <w:t>RESOLVED:</w:t>
                  </w:r>
                </w:p>
                <w:p w14:paraId="1B8A1787" w14:textId="22A7B2D5" w:rsidR="00A730ED" w:rsidRPr="00795BE8" w:rsidRDefault="00A730ED" w:rsidP="0005457C">
                  <w:pPr>
                    <w:framePr w:hSpace="180" w:wrap="around" w:vAnchor="text" w:hAnchor="text" w:y="1"/>
                    <w:suppressOverlap/>
                    <w:rPr>
                      <w:sz w:val="22"/>
                      <w:szCs w:val="22"/>
                    </w:rPr>
                  </w:pPr>
                  <w:r w:rsidRPr="00795BE8">
                    <w:rPr>
                      <w:sz w:val="22"/>
                      <w:szCs w:val="22"/>
                    </w:rPr>
                    <w:t xml:space="preserve">That the Management Accounts for </w:t>
                  </w:r>
                  <w:r w:rsidR="00A96668" w:rsidRPr="00795BE8">
                    <w:rPr>
                      <w:sz w:val="22"/>
                      <w:szCs w:val="22"/>
                    </w:rPr>
                    <w:t>April</w:t>
                  </w:r>
                  <w:r w:rsidR="003157B4" w:rsidRPr="00795BE8">
                    <w:rPr>
                      <w:sz w:val="22"/>
                      <w:szCs w:val="22"/>
                    </w:rPr>
                    <w:t xml:space="preserve"> 2019</w:t>
                  </w:r>
                  <w:r w:rsidRPr="00795BE8">
                    <w:rPr>
                      <w:sz w:val="22"/>
                      <w:szCs w:val="22"/>
                    </w:rPr>
                    <w:t xml:space="preserve"> be approved.</w:t>
                  </w:r>
                </w:p>
                <w:p w14:paraId="2417AEFA" w14:textId="77777777" w:rsidR="00A730ED" w:rsidRPr="00A07811" w:rsidRDefault="00A730ED" w:rsidP="0005457C">
                  <w:pPr>
                    <w:framePr w:hSpace="180" w:wrap="around" w:vAnchor="text" w:hAnchor="text" w:y="1"/>
                    <w:suppressOverlap/>
                    <w:rPr>
                      <w:color w:val="FF0000"/>
                      <w:sz w:val="22"/>
                      <w:szCs w:val="22"/>
                      <w:u w:val="single"/>
                    </w:rPr>
                  </w:pPr>
                </w:p>
                <w:p w14:paraId="423C5FF8" w14:textId="77777777" w:rsidR="003573CE" w:rsidRPr="00A07811" w:rsidRDefault="003573CE" w:rsidP="0005457C">
                  <w:pPr>
                    <w:framePr w:hSpace="180" w:wrap="around" w:vAnchor="text" w:hAnchor="text" w:y="1"/>
                    <w:suppressOverlap/>
                    <w:rPr>
                      <w:sz w:val="22"/>
                      <w:szCs w:val="22"/>
                      <w:u w:val="single"/>
                    </w:rPr>
                  </w:pPr>
                  <w:r w:rsidRPr="00A07811">
                    <w:rPr>
                      <w:sz w:val="22"/>
                      <w:szCs w:val="22"/>
                      <w:u w:val="single"/>
                    </w:rPr>
                    <w:t>Finance KPI Dashboard</w:t>
                  </w:r>
                </w:p>
                <w:p w14:paraId="213A7C4C" w14:textId="77777777" w:rsidR="003573CE" w:rsidRPr="00A07811" w:rsidRDefault="003573CE" w:rsidP="0005457C">
                  <w:pPr>
                    <w:framePr w:hSpace="180" w:wrap="around" w:vAnchor="text" w:hAnchor="text" w:y="1"/>
                    <w:ind w:left="133"/>
                    <w:suppressOverlap/>
                    <w:rPr>
                      <w:color w:val="FF0000"/>
                      <w:sz w:val="22"/>
                      <w:szCs w:val="22"/>
                      <w:u w:val="single"/>
                    </w:rPr>
                  </w:pPr>
                </w:p>
                <w:p w14:paraId="79D7A156" w14:textId="7212155E" w:rsidR="00795BE8" w:rsidRPr="005E7BAC" w:rsidRDefault="003573CE" w:rsidP="0005457C">
                  <w:pPr>
                    <w:framePr w:hSpace="180" w:wrap="around" w:vAnchor="text" w:hAnchor="text" w:y="1"/>
                    <w:suppressOverlap/>
                    <w:rPr>
                      <w:sz w:val="22"/>
                      <w:szCs w:val="22"/>
                    </w:rPr>
                  </w:pPr>
                  <w:r w:rsidRPr="005E7BAC">
                    <w:rPr>
                      <w:sz w:val="22"/>
                      <w:szCs w:val="22"/>
                    </w:rPr>
                    <w:t>The Finance Director outlined the financial dashboard data, including</w:t>
                  </w:r>
                  <w:r w:rsidR="008C13E4" w:rsidRPr="005E7BAC">
                    <w:rPr>
                      <w:sz w:val="22"/>
                      <w:szCs w:val="22"/>
                    </w:rPr>
                    <w:t xml:space="preserve"> financial health score, finan</w:t>
                  </w:r>
                  <w:r w:rsidR="00795BE8" w:rsidRPr="005E7BAC">
                    <w:rPr>
                      <w:sz w:val="22"/>
                      <w:szCs w:val="22"/>
                    </w:rPr>
                    <w:t>cial objectives and</w:t>
                  </w:r>
                  <w:r w:rsidR="008B2CF6" w:rsidRPr="005E7BAC">
                    <w:rPr>
                      <w:sz w:val="22"/>
                      <w:szCs w:val="22"/>
                    </w:rPr>
                    <w:t xml:space="preserve"> bank covenants</w:t>
                  </w:r>
                  <w:r w:rsidR="008C13E4" w:rsidRPr="005E7BAC">
                    <w:rPr>
                      <w:sz w:val="22"/>
                      <w:szCs w:val="22"/>
                    </w:rPr>
                    <w:t>.</w:t>
                  </w:r>
                  <w:r w:rsidRPr="005E7BAC">
                    <w:rPr>
                      <w:sz w:val="22"/>
                      <w:szCs w:val="22"/>
                    </w:rPr>
                    <w:t xml:space="preserve"> </w:t>
                  </w:r>
                  <w:r w:rsidR="008C13E4" w:rsidRPr="005E7BAC">
                    <w:rPr>
                      <w:sz w:val="22"/>
                      <w:szCs w:val="22"/>
                    </w:rPr>
                    <w:t>It was noted that most measures were rated ‘green’ under the RAG rating system and the Finance Director highlighted the exceptions rated as ‘</w:t>
                  </w:r>
                  <w:r w:rsidR="00795BE8" w:rsidRPr="005E7BAC">
                    <w:rPr>
                      <w:sz w:val="22"/>
                      <w:szCs w:val="22"/>
                    </w:rPr>
                    <w:t>red’</w:t>
                  </w:r>
                  <w:r w:rsidR="008C13E4" w:rsidRPr="005E7BAC">
                    <w:rPr>
                      <w:sz w:val="22"/>
                      <w:szCs w:val="22"/>
                    </w:rPr>
                    <w:t xml:space="preserve">. He explained that </w:t>
                  </w:r>
                  <w:r w:rsidR="00AA632F" w:rsidRPr="005E7BAC">
                    <w:rPr>
                      <w:sz w:val="22"/>
                      <w:szCs w:val="22"/>
                    </w:rPr>
                    <w:t>the adjusted current ratio was expected</w:t>
                  </w:r>
                  <w:r w:rsidR="008C13E4" w:rsidRPr="005E7BAC">
                    <w:rPr>
                      <w:sz w:val="22"/>
                      <w:szCs w:val="22"/>
                    </w:rPr>
                    <w:t xml:space="preserve"> to </w:t>
                  </w:r>
                  <w:r w:rsidR="00795BE8" w:rsidRPr="005E7BAC">
                    <w:rPr>
                      <w:sz w:val="22"/>
                      <w:szCs w:val="22"/>
                    </w:rPr>
                    <w:t>meet expectations by year-end</w:t>
                  </w:r>
                  <w:r w:rsidR="00AA632F" w:rsidRPr="005E7BAC">
                    <w:rPr>
                      <w:sz w:val="22"/>
                      <w:szCs w:val="22"/>
                    </w:rPr>
                    <w:t xml:space="preserve">. </w:t>
                  </w:r>
                  <w:r w:rsidR="001C7D04" w:rsidRPr="005E7BAC">
                    <w:rPr>
                      <w:sz w:val="22"/>
                      <w:szCs w:val="22"/>
                    </w:rPr>
                    <w:t>H</w:t>
                  </w:r>
                  <w:r w:rsidR="00795BE8" w:rsidRPr="005E7BAC">
                    <w:rPr>
                      <w:sz w:val="22"/>
                      <w:szCs w:val="22"/>
                    </w:rPr>
                    <w:t>owever, h</w:t>
                  </w:r>
                  <w:r w:rsidR="001C7D04" w:rsidRPr="005E7BAC">
                    <w:rPr>
                      <w:sz w:val="22"/>
                      <w:szCs w:val="22"/>
                    </w:rPr>
                    <w:t xml:space="preserve">e also explained that </w:t>
                  </w:r>
                  <w:r w:rsidR="00795BE8" w:rsidRPr="005E7BAC">
                    <w:rPr>
                      <w:sz w:val="22"/>
                      <w:szCs w:val="22"/>
                    </w:rPr>
                    <w:t xml:space="preserve">the EBITDA margin target and the FE Loans income target would not be met. The Chair commented on the aspirational target of outstanding financial health and asked whether this aspiration was the college’s own or an external expectation. The Finance Director confirmed it was the </w:t>
                  </w:r>
                  <w:r w:rsidR="005E7BAC" w:rsidRPr="005E7BAC">
                    <w:rPr>
                      <w:sz w:val="22"/>
                      <w:szCs w:val="22"/>
                    </w:rPr>
                    <w:t>former</w:t>
                  </w:r>
                  <w:r w:rsidR="00795BE8" w:rsidRPr="005E7BAC">
                    <w:rPr>
                      <w:sz w:val="22"/>
                      <w:szCs w:val="22"/>
                    </w:rPr>
                    <w:t>. The Chair suggested that, given the college’s approach of reinvesting increases in surplus, it may be appropriate to formally revie</w:t>
                  </w:r>
                  <w:r w:rsidR="005E7BAC" w:rsidRPr="005E7BAC">
                    <w:rPr>
                      <w:sz w:val="22"/>
                      <w:szCs w:val="22"/>
                    </w:rPr>
                    <w:t>w this target for 2019/20. The P</w:t>
                  </w:r>
                  <w:r w:rsidR="00795BE8" w:rsidRPr="005E7BAC">
                    <w:rPr>
                      <w:sz w:val="22"/>
                      <w:szCs w:val="22"/>
                    </w:rPr>
                    <w:t>rincipal agreed that</w:t>
                  </w:r>
                  <w:r w:rsidR="005E7BAC" w:rsidRPr="005E7BAC">
                    <w:rPr>
                      <w:sz w:val="22"/>
                      <w:szCs w:val="22"/>
                    </w:rPr>
                    <w:t xml:space="preserve"> this would be a more realistic approach and agreed to review the target when performance indicators were next presented to the Governing Board.</w:t>
                  </w:r>
                </w:p>
                <w:p w14:paraId="62A03CC4" w14:textId="02E1C01E" w:rsidR="008B2CF6" w:rsidRPr="00A07811" w:rsidRDefault="008B2CF6" w:rsidP="0005457C">
                  <w:pPr>
                    <w:framePr w:hSpace="180" w:wrap="around" w:vAnchor="text" w:hAnchor="text" w:y="1"/>
                    <w:suppressOverlap/>
                    <w:rPr>
                      <w:color w:val="FF0000"/>
                      <w:sz w:val="22"/>
                      <w:szCs w:val="22"/>
                    </w:rPr>
                  </w:pPr>
                </w:p>
              </w:tc>
            </w:tr>
          </w:tbl>
          <w:p w14:paraId="0B2D7F10" w14:textId="437C9B59" w:rsidR="00A07811" w:rsidRPr="00A07811" w:rsidRDefault="00A07811" w:rsidP="00A07811">
            <w:pPr>
              <w:rPr>
                <w:color w:val="FF0000"/>
                <w:sz w:val="22"/>
                <w:szCs w:val="22"/>
                <w:u w:val="single"/>
              </w:rPr>
            </w:pPr>
            <w:r w:rsidRPr="00A07811">
              <w:rPr>
                <w:color w:val="FF0000"/>
                <w:sz w:val="22"/>
                <w:szCs w:val="22"/>
              </w:rPr>
              <w:t xml:space="preserve"> </w:t>
            </w:r>
            <w:r w:rsidRPr="00A07811">
              <w:rPr>
                <w:sz w:val="22"/>
                <w:szCs w:val="22"/>
                <w:u w:val="single"/>
              </w:rPr>
              <w:t>ESFA Financial Dashboard</w:t>
            </w:r>
          </w:p>
          <w:p w14:paraId="6B7034CB" w14:textId="77777777" w:rsidR="00A07811" w:rsidRPr="00A07811" w:rsidRDefault="00A07811" w:rsidP="00A07811">
            <w:pPr>
              <w:ind w:left="133"/>
              <w:rPr>
                <w:color w:val="FF0000"/>
                <w:sz w:val="22"/>
                <w:szCs w:val="22"/>
                <w:u w:val="single"/>
              </w:rPr>
            </w:pPr>
          </w:p>
          <w:p w14:paraId="667C7D26" w14:textId="0D28667B" w:rsidR="005E7BAC" w:rsidRDefault="00A07811" w:rsidP="00D23312">
            <w:pPr>
              <w:rPr>
                <w:sz w:val="22"/>
                <w:szCs w:val="22"/>
              </w:rPr>
            </w:pPr>
            <w:r w:rsidRPr="005E7BAC">
              <w:rPr>
                <w:sz w:val="22"/>
                <w:szCs w:val="22"/>
              </w:rPr>
              <w:t>The Finance Director</w:t>
            </w:r>
            <w:r w:rsidR="005E7BAC" w:rsidRPr="005E7BAC">
              <w:rPr>
                <w:sz w:val="22"/>
                <w:szCs w:val="22"/>
              </w:rPr>
              <w:t xml:space="preserve"> confirmed that the college had been rated as having ‘good’ financial health following the review of its</w:t>
            </w:r>
            <w:r w:rsidR="005E7BAC">
              <w:rPr>
                <w:sz w:val="22"/>
                <w:szCs w:val="22"/>
              </w:rPr>
              <w:t xml:space="preserve"> Financial Plan</w:t>
            </w:r>
            <w:r w:rsidR="005E7BAC" w:rsidRPr="005E7BAC">
              <w:rPr>
                <w:sz w:val="22"/>
                <w:szCs w:val="22"/>
              </w:rPr>
              <w:t xml:space="preserve"> </w:t>
            </w:r>
            <w:r w:rsidR="005E7BAC">
              <w:rPr>
                <w:sz w:val="22"/>
                <w:szCs w:val="22"/>
              </w:rPr>
              <w:t xml:space="preserve">and </w:t>
            </w:r>
            <w:r w:rsidR="005E7BAC" w:rsidRPr="005E7BAC">
              <w:rPr>
                <w:sz w:val="22"/>
                <w:szCs w:val="22"/>
              </w:rPr>
              <w:t>2017/18 financial statements by the Education &amp; Skills Funding Agency</w:t>
            </w:r>
            <w:r w:rsidR="005A23EC">
              <w:rPr>
                <w:sz w:val="22"/>
                <w:szCs w:val="22"/>
              </w:rPr>
              <w:t xml:space="preserve"> (ESFA)</w:t>
            </w:r>
            <w:r w:rsidR="005E7BAC" w:rsidRPr="005E7BAC">
              <w:rPr>
                <w:sz w:val="22"/>
                <w:szCs w:val="22"/>
              </w:rPr>
              <w:t>.</w:t>
            </w:r>
            <w:r w:rsidR="005E7BAC">
              <w:rPr>
                <w:sz w:val="22"/>
                <w:szCs w:val="22"/>
              </w:rPr>
              <w:t xml:space="preserve"> Members discussed the ESFA Dashboard, including accuracy of forecasting, cash days in hand, staff costs and borrowing as a percentage of income. They also noted that the dashboard now included a number of questions that governors may wish to consider when reviewing the dashboard data.</w:t>
            </w:r>
            <w:r w:rsidR="00D23312">
              <w:rPr>
                <w:sz w:val="22"/>
                <w:szCs w:val="22"/>
              </w:rPr>
              <w:t xml:space="preserve"> </w:t>
            </w:r>
            <w:r w:rsidR="005E7BAC">
              <w:rPr>
                <w:sz w:val="22"/>
                <w:szCs w:val="22"/>
              </w:rPr>
              <w:t xml:space="preserve">The Finance Director confirmed that its </w:t>
            </w:r>
            <w:r w:rsidR="00D23312">
              <w:rPr>
                <w:sz w:val="22"/>
                <w:szCs w:val="22"/>
              </w:rPr>
              <w:t>financial performance was in lin</w:t>
            </w:r>
            <w:r w:rsidR="005E7BAC">
              <w:rPr>
                <w:sz w:val="22"/>
                <w:szCs w:val="22"/>
              </w:rPr>
              <w:t xml:space="preserve">e with </w:t>
            </w:r>
            <w:r w:rsidR="00D23312">
              <w:rPr>
                <w:sz w:val="22"/>
                <w:szCs w:val="22"/>
              </w:rPr>
              <w:t>expectations</w:t>
            </w:r>
            <w:r w:rsidR="005E7BAC">
              <w:rPr>
                <w:sz w:val="22"/>
                <w:szCs w:val="22"/>
              </w:rPr>
              <w:t xml:space="preserve"> and the Principal commented that it was pleasing to see that the college now had a positive trend of </w:t>
            </w:r>
            <w:r w:rsidR="00D23312">
              <w:rPr>
                <w:sz w:val="22"/>
                <w:szCs w:val="22"/>
              </w:rPr>
              <w:t>delivering outturns in line with its original forecasts.</w:t>
            </w:r>
          </w:p>
          <w:p w14:paraId="431FE553" w14:textId="77777777" w:rsidR="00D23312" w:rsidRDefault="00D23312" w:rsidP="00D23312">
            <w:pPr>
              <w:rPr>
                <w:sz w:val="22"/>
                <w:szCs w:val="22"/>
              </w:rPr>
            </w:pPr>
          </w:p>
          <w:p w14:paraId="2D0CA85B" w14:textId="59A3850C" w:rsidR="00C04F65" w:rsidRDefault="00D23312" w:rsidP="00D23312">
            <w:pPr>
              <w:rPr>
                <w:sz w:val="22"/>
                <w:szCs w:val="22"/>
              </w:rPr>
            </w:pPr>
            <w:r>
              <w:rPr>
                <w:sz w:val="22"/>
                <w:szCs w:val="22"/>
              </w:rPr>
              <w:t>Members discussed the expected bank loan ‘balloon payment’ in 2026 and asked whether there had been any development in terms of discussions with the bank. The Principal confirmed that the bank had indicated a willingness to re-finance the ‘balloon payment’ when it became due and that the college would be in a good position to take on re-financing payments as there would by that date be corresponding reductions in its loan payments. The Chair asked whether the bank was comfortable with the college’s current approach of re-investing increased surpluses. The Principal confirmed that this was the case. The Chair acknowledged that this approach was justifiable, given that the college’s estate and equipment had lacked investment in recent years, but suggested that the ‘balloon payment’ be adequately reflected on the college’s risk register in order that the position would be subject to regular review.</w:t>
            </w:r>
          </w:p>
          <w:p w14:paraId="7133FCF7" w14:textId="727C873D" w:rsidR="00C04F65" w:rsidRPr="00C04F65" w:rsidRDefault="00C04F65" w:rsidP="00C04F65">
            <w:pPr>
              <w:jc w:val="right"/>
              <w:rPr>
                <w:b/>
                <w:sz w:val="22"/>
                <w:szCs w:val="22"/>
              </w:rPr>
            </w:pPr>
            <w:r>
              <w:rPr>
                <w:b/>
                <w:sz w:val="22"/>
                <w:szCs w:val="22"/>
              </w:rPr>
              <w:t>Action: Finance Director</w:t>
            </w:r>
          </w:p>
          <w:p w14:paraId="17A8D135" w14:textId="77777777" w:rsidR="00A07811" w:rsidRDefault="00A07811" w:rsidP="00D23312">
            <w:pPr>
              <w:rPr>
                <w:color w:val="FF0000"/>
                <w:sz w:val="22"/>
                <w:szCs w:val="22"/>
              </w:rPr>
            </w:pPr>
          </w:p>
          <w:p w14:paraId="56AB0B7A" w14:textId="4334511F" w:rsidR="00A07811" w:rsidRPr="00A07811" w:rsidRDefault="00A07811" w:rsidP="005A23EC">
            <w:pPr>
              <w:rPr>
                <w:sz w:val="22"/>
                <w:szCs w:val="22"/>
                <w:u w:val="single"/>
              </w:rPr>
            </w:pPr>
            <w:r w:rsidRPr="00A07811">
              <w:rPr>
                <w:sz w:val="22"/>
                <w:szCs w:val="22"/>
                <w:u w:val="single"/>
              </w:rPr>
              <w:t>Budget 2019/20</w:t>
            </w:r>
          </w:p>
          <w:p w14:paraId="7AE42DF8" w14:textId="77777777" w:rsidR="00A07811" w:rsidRDefault="00A07811" w:rsidP="005A23EC">
            <w:pPr>
              <w:rPr>
                <w:color w:val="FF0000"/>
                <w:sz w:val="22"/>
                <w:szCs w:val="22"/>
                <w:u w:val="single"/>
              </w:rPr>
            </w:pPr>
          </w:p>
          <w:p w14:paraId="7D014F0B" w14:textId="2A77D13F" w:rsidR="005A23EC" w:rsidRDefault="00A07811" w:rsidP="005A23EC">
            <w:pPr>
              <w:rPr>
                <w:sz w:val="22"/>
                <w:szCs w:val="22"/>
              </w:rPr>
            </w:pPr>
            <w:r w:rsidRPr="00472358">
              <w:rPr>
                <w:sz w:val="22"/>
                <w:szCs w:val="22"/>
              </w:rPr>
              <w:t>The Finance Director</w:t>
            </w:r>
            <w:r w:rsidR="00472358" w:rsidRPr="00472358">
              <w:rPr>
                <w:sz w:val="22"/>
                <w:szCs w:val="22"/>
              </w:rPr>
              <w:t xml:space="preserve"> </w:t>
            </w:r>
            <w:r w:rsidR="00472358">
              <w:rPr>
                <w:sz w:val="22"/>
                <w:szCs w:val="22"/>
              </w:rPr>
              <w:t>outlined the proposed budget for 2019/20 and explained that total income was foreca</w:t>
            </w:r>
            <w:r w:rsidR="004B5B93">
              <w:rPr>
                <w:sz w:val="22"/>
                <w:szCs w:val="22"/>
              </w:rPr>
              <w:t>st to increase by £2.1</w:t>
            </w:r>
            <w:r w:rsidR="00472358">
              <w:rPr>
                <w:sz w:val="22"/>
                <w:szCs w:val="22"/>
              </w:rPr>
              <w:t xml:space="preserve">M and expenditure (before release of revaluation reserve and FRS102 charges) was </w:t>
            </w:r>
            <w:r w:rsidR="004B5B93">
              <w:rPr>
                <w:sz w:val="22"/>
                <w:szCs w:val="22"/>
              </w:rPr>
              <w:t xml:space="preserve">also </w:t>
            </w:r>
            <w:r w:rsidR="00472358">
              <w:rPr>
                <w:sz w:val="22"/>
                <w:szCs w:val="22"/>
              </w:rPr>
              <w:t>forecast to increase by £</w:t>
            </w:r>
            <w:r w:rsidR="004B5B93">
              <w:rPr>
                <w:sz w:val="22"/>
                <w:szCs w:val="22"/>
              </w:rPr>
              <w:t>2</w:t>
            </w:r>
            <w:r w:rsidR="00472358">
              <w:rPr>
                <w:sz w:val="22"/>
                <w:szCs w:val="22"/>
              </w:rPr>
              <w:t>.1M. It was noted that the net expectation was an operating surplus of £1.03M and a reporting surplus of £244K</w:t>
            </w:r>
            <w:r w:rsidR="00C04F65">
              <w:rPr>
                <w:sz w:val="22"/>
                <w:szCs w:val="22"/>
              </w:rPr>
              <w:t xml:space="preserve"> </w:t>
            </w:r>
          </w:p>
          <w:p w14:paraId="2C2AF6D8" w14:textId="77777777" w:rsidR="005A23EC" w:rsidRDefault="005A23EC" w:rsidP="005A23EC">
            <w:pPr>
              <w:rPr>
                <w:sz w:val="22"/>
                <w:szCs w:val="22"/>
              </w:rPr>
            </w:pPr>
          </w:p>
          <w:p w14:paraId="1EC47D74" w14:textId="7A6A7119" w:rsidR="00A07811" w:rsidRDefault="005A23EC" w:rsidP="005A23EC">
            <w:pPr>
              <w:rPr>
                <w:sz w:val="22"/>
                <w:szCs w:val="22"/>
              </w:rPr>
            </w:pPr>
            <w:r>
              <w:rPr>
                <w:sz w:val="22"/>
                <w:szCs w:val="22"/>
              </w:rPr>
              <w:t>Members discussed ESFA funding levels and noted that 16-18 funding was expected to increase by around £1.</w:t>
            </w:r>
            <w:r w:rsidR="004B5B93">
              <w:rPr>
                <w:sz w:val="22"/>
                <w:szCs w:val="22"/>
              </w:rPr>
              <w:t>2</w:t>
            </w:r>
            <w:r>
              <w:rPr>
                <w:sz w:val="22"/>
                <w:szCs w:val="22"/>
              </w:rPr>
              <w:t xml:space="preserve">M based on the increase in student numbers in 2018/19. It was noted that this was guaranteed income and not expected to change in-year. They also discussed expected increases in Teachers’ Pension Scheme (TPS) payments of around £500K and noted that a corresponding grant of £435K was expected to largely offset this </w:t>
            </w:r>
            <w:r>
              <w:rPr>
                <w:sz w:val="22"/>
                <w:szCs w:val="22"/>
              </w:rPr>
              <w:lastRenderedPageBreak/>
              <w:t xml:space="preserve">increase. The Principal advised that this grant had been confirmed for 2019/20 but that further grants would not be confirmed until after the forthcoming government Spending Review. She added that the Association of Colleges had indicated an expectation that the grant would continue at least for 2020/21 but explained that this could not be relied upon for financial planning purposes. Members asked how the college would be able to manage a £500K potential shortfall resulting from TPS payment increases. The Finance Director </w:t>
            </w:r>
            <w:r w:rsidR="00C04F65">
              <w:rPr>
                <w:sz w:val="22"/>
                <w:szCs w:val="22"/>
              </w:rPr>
              <w:t xml:space="preserve">responded that </w:t>
            </w:r>
            <w:r>
              <w:rPr>
                <w:sz w:val="22"/>
                <w:szCs w:val="22"/>
              </w:rPr>
              <w:t>student travel cost savings resulting from the introduction of the Greater Manchester ‘Our Pass’ scheme</w:t>
            </w:r>
            <w:r w:rsidR="009274EA">
              <w:rPr>
                <w:sz w:val="22"/>
                <w:szCs w:val="22"/>
              </w:rPr>
              <w:t xml:space="preserve"> would be the most significant element in terms of meeting this potential shortfall.</w:t>
            </w:r>
          </w:p>
          <w:p w14:paraId="4CFF8D1B" w14:textId="77777777" w:rsidR="009274EA" w:rsidRDefault="009274EA" w:rsidP="005A23EC">
            <w:pPr>
              <w:rPr>
                <w:sz w:val="22"/>
                <w:szCs w:val="22"/>
              </w:rPr>
            </w:pPr>
          </w:p>
          <w:p w14:paraId="44228231" w14:textId="0BECD462" w:rsidR="009274EA" w:rsidRDefault="009274EA" w:rsidP="005A23EC">
            <w:pPr>
              <w:rPr>
                <w:sz w:val="22"/>
                <w:szCs w:val="22"/>
              </w:rPr>
            </w:pPr>
            <w:r>
              <w:rPr>
                <w:sz w:val="22"/>
                <w:szCs w:val="22"/>
              </w:rPr>
              <w:t>The Finance Director advised that reports to the ESFA from September 2019 would include a 24-month rolling cash flow forecast and that this would also be included in future management accounts reports.</w:t>
            </w:r>
          </w:p>
          <w:p w14:paraId="3340CF8C" w14:textId="77777777" w:rsidR="00A86A17" w:rsidRDefault="00A86A17" w:rsidP="005A23EC">
            <w:pPr>
              <w:rPr>
                <w:sz w:val="22"/>
                <w:szCs w:val="22"/>
              </w:rPr>
            </w:pPr>
          </w:p>
          <w:p w14:paraId="5370C975" w14:textId="446A6A7A" w:rsidR="00A86A17" w:rsidRDefault="00A86A17" w:rsidP="005A23EC">
            <w:pPr>
              <w:rPr>
                <w:sz w:val="22"/>
                <w:szCs w:val="22"/>
              </w:rPr>
            </w:pPr>
            <w:r>
              <w:rPr>
                <w:sz w:val="22"/>
                <w:szCs w:val="22"/>
              </w:rPr>
              <w:t>Member</w:t>
            </w:r>
            <w:r w:rsidR="00ED12A7">
              <w:rPr>
                <w:sz w:val="22"/>
                <w:szCs w:val="22"/>
              </w:rPr>
              <w:t>s</w:t>
            </w:r>
            <w:r>
              <w:rPr>
                <w:sz w:val="22"/>
                <w:szCs w:val="22"/>
              </w:rPr>
              <w:t xml:space="preserve"> commented on expected increases in pay as a percentage of income in the 2019/20 budget and further marginal increases in the longer-term Financial Plan and asked for further clarification. The Principal explained that this was in order to address staff utilisation rates discussed earlier in the meeting. She also explained that the increases factored in future pay rises, increases in TPS costs and the recruitment of some higher paid staff in response to increases in higher apprenticeship provision. Members acknowledged the various factors affecting future pay costs but asked for a reconciliation of the various elements to be circulated to committee members in advance of the next Governing Board meeting to assist with the Chair’s report to the Board and for handing out to Board members.</w:t>
            </w:r>
          </w:p>
          <w:p w14:paraId="3973EC2E" w14:textId="77777777" w:rsidR="00A86A17" w:rsidRDefault="00A86A17" w:rsidP="00A86A17">
            <w:pPr>
              <w:jc w:val="right"/>
              <w:rPr>
                <w:b/>
                <w:sz w:val="22"/>
                <w:szCs w:val="22"/>
              </w:rPr>
            </w:pPr>
            <w:r>
              <w:rPr>
                <w:b/>
                <w:sz w:val="22"/>
                <w:szCs w:val="22"/>
              </w:rPr>
              <w:t>Action: Finance Director</w:t>
            </w:r>
          </w:p>
          <w:p w14:paraId="24E7A337" w14:textId="77777777" w:rsidR="00A86A17" w:rsidRDefault="00A86A17" w:rsidP="00A86A17">
            <w:pPr>
              <w:jc w:val="right"/>
              <w:rPr>
                <w:b/>
                <w:sz w:val="22"/>
                <w:szCs w:val="22"/>
              </w:rPr>
            </w:pPr>
          </w:p>
          <w:p w14:paraId="1A7FA608" w14:textId="77777777" w:rsidR="008A6E2B" w:rsidRPr="00795BE8" w:rsidRDefault="008A6E2B" w:rsidP="008A6E2B">
            <w:pPr>
              <w:rPr>
                <w:b/>
                <w:sz w:val="22"/>
                <w:szCs w:val="22"/>
              </w:rPr>
            </w:pPr>
            <w:r w:rsidRPr="00795BE8">
              <w:rPr>
                <w:b/>
                <w:sz w:val="22"/>
                <w:szCs w:val="22"/>
              </w:rPr>
              <w:t>RESOLVED:</w:t>
            </w:r>
          </w:p>
          <w:p w14:paraId="15C7819A" w14:textId="117CA51E" w:rsidR="008A6E2B" w:rsidRDefault="008A6E2B" w:rsidP="008A6E2B">
            <w:pPr>
              <w:rPr>
                <w:sz w:val="22"/>
                <w:szCs w:val="22"/>
              </w:rPr>
            </w:pPr>
            <w:r w:rsidRPr="00795BE8">
              <w:rPr>
                <w:sz w:val="22"/>
                <w:szCs w:val="22"/>
              </w:rPr>
              <w:t>That</w:t>
            </w:r>
            <w:r>
              <w:rPr>
                <w:sz w:val="22"/>
                <w:szCs w:val="22"/>
              </w:rPr>
              <w:t xml:space="preserve">, subject to the provision of a reconciliation of factors affecting pay costs, </w:t>
            </w:r>
            <w:r w:rsidRPr="00795BE8">
              <w:rPr>
                <w:sz w:val="22"/>
                <w:szCs w:val="22"/>
              </w:rPr>
              <w:t>the</w:t>
            </w:r>
            <w:r>
              <w:rPr>
                <w:sz w:val="22"/>
                <w:szCs w:val="22"/>
              </w:rPr>
              <w:t xml:space="preserve"> Governing Board </w:t>
            </w:r>
            <w:proofErr w:type="gramStart"/>
            <w:r>
              <w:rPr>
                <w:sz w:val="22"/>
                <w:szCs w:val="22"/>
              </w:rPr>
              <w:t>be</w:t>
            </w:r>
            <w:proofErr w:type="gramEnd"/>
            <w:r>
              <w:rPr>
                <w:sz w:val="22"/>
                <w:szCs w:val="22"/>
              </w:rPr>
              <w:t xml:space="preserve"> recommended to approve the Budget for 2019/20.</w:t>
            </w:r>
          </w:p>
          <w:p w14:paraId="67804956" w14:textId="77777777" w:rsidR="008A6E2B" w:rsidRDefault="008A6E2B" w:rsidP="008A6E2B">
            <w:pPr>
              <w:rPr>
                <w:b/>
                <w:sz w:val="22"/>
                <w:szCs w:val="22"/>
              </w:rPr>
            </w:pPr>
          </w:p>
          <w:p w14:paraId="5866FB09" w14:textId="3F8A6034" w:rsidR="00A86A17" w:rsidRDefault="00A86A17" w:rsidP="00A86A17">
            <w:pPr>
              <w:rPr>
                <w:sz w:val="22"/>
                <w:szCs w:val="22"/>
                <w:u w:val="single"/>
              </w:rPr>
            </w:pPr>
            <w:r>
              <w:rPr>
                <w:sz w:val="22"/>
                <w:szCs w:val="22"/>
                <w:u w:val="single"/>
              </w:rPr>
              <w:t>Financial Plan to 2020/21</w:t>
            </w:r>
          </w:p>
          <w:p w14:paraId="4BA4AC08" w14:textId="77777777" w:rsidR="00A86A17" w:rsidRDefault="00A86A17" w:rsidP="00A86A17">
            <w:pPr>
              <w:rPr>
                <w:sz w:val="22"/>
                <w:szCs w:val="22"/>
                <w:u w:val="single"/>
              </w:rPr>
            </w:pPr>
          </w:p>
          <w:p w14:paraId="076886F3" w14:textId="5530DF62" w:rsidR="00A86A17" w:rsidRDefault="00A86A17" w:rsidP="00A86A17">
            <w:pPr>
              <w:rPr>
                <w:sz w:val="22"/>
                <w:szCs w:val="22"/>
              </w:rPr>
            </w:pPr>
            <w:r>
              <w:rPr>
                <w:sz w:val="22"/>
                <w:szCs w:val="22"/>
              </w:rPr>
              <w:t>The Finance Director outlined the Financial Plan to be reported to the ESFA and it was noted that the report was an ESFA model report and could not be manipulated in terms of how information was presented. It was also noted that the report included more formal commentary and increased detail in terms of financial strategy and assumptions.</w:t>
            </w:r>
            <w:r w:rsidR="00C52246">
              <w:rPr>
                <w:sz w:val="22"/>
                <w:szCs w:val="22"/>
              </w:rPr>
              <w:t xml:space="preserve"> The Finance Director also drew members’ attention to the financial planning checklist included in the Financial Plan report and explained that the ESFA had an expectation that this would be reviewed by members as part of the Financial Plan </w:t>
            </w:r>
            <w:r w:rsidR="004B5B93">
              <w:rPr>
                <w:sz w:val="22"/>
                <w:szCs w:val="22"/>
              </w:rPr>
              <w:t>approval</w:t>
            </w:r>
            <w:r w:rsidR="00C52246">
              <w:rPr>
                <w:sz w:val="22"/>
                <w:szCs w:val="22"/>
              </w:rPr>
              <w:t xml:space="preserve"> process. Members discussed the checklist contents and sought clarification on a number of matters. The Chair asked whether a pay as a percentage of income below 65% was a formal expectation of the ESFA. The Finance Director responded that this was an expectation but that there was no formal sanction in place if this was exceeded, provided overall financial performance met expectations. The Chair suggested that, whilst the college’s pay percentage was likely to be close to the ESFA expectation, it was important that the college tried to maintain a figure below 65%.</w:t>
            </w:r>
          </w:p>
          <w:p w14:paraId="2130337F" w14:textId="77777777" w:rsidR="00C52246" w:rsidRDefault="00C52246" w:rsidP="00A86A17">
            <w:pPr>
              <w:rPr>
                <w:sz w:val="22"/>
                <w:szCs w:val="22"/>
              </w:rPr>
            </w:pPr>
          </w:p>
          <w:p w14:paraId="6075C9F8" w14:textId="70B6502B" w:rsidR="00C52246" w:rsidRDefault="008A6E2B" w:rsidP="00A86A17">
            <w:pPr>
              <w:rPr>
                <w:sz w:val="22"/>
                <w:szCs w:val="22"/>
              </w:rPr>
            </w:pPr>
            <w:r>
              <w:rPr>
                <w:sz w:val="22"/>
                <w:szCs w:val="22"/>
              </w:rPr>
              <w:t>The Chair commented that, in recent years, the annual pay budget had not been fully spent and asked whether it would be appropriate to reduce this budget in order to reflect the recent pay performance. The Principal responded that the pay budget was made up of specific staffing expectations in line with expected student numbers, including forecast demographic increases. The Vice Principal also confirmed that the staffing budget was a reflection of establishment posts identified in the curriculum planning process.</w:t>
            </w:r>
          </w:p>
          <w:p w14:paraId="51EDE65C" w14:textId="77777777" w:rsidR="008A6E2B" w:rsidRDefault="008A6E2B" w:rsidP="00A86A17">
            <w:pPr>
              <w:rPr>
                <w:sz w:val="22"/>
                <w:szCs w:val="22"/>
              </w:rPr>
            </w:pPr>
          </w:p>
          <w:p w14:paraId="772C2461" w14:textId="77777777" w:rsidR="008A6E2B" w:rsidRPr="00795BE8" w:rsidRDefault="008A6E2B" w:rsidP="008A6E2B">
            <w:pPr>
              <w:rPr>
                <w:b/>
                <w:sz w:val="22"/>
                <w:szCs w:val="22"/>
              </w:rPr>
            </w:pPr>
            <w:r w:rsidRPr="00795BE8">
              <w:rPr>
                <w:b/>
                <w:sz w:val="22"/>
                <w:szCs w:val="22"/>
              </w:rPr>
              <w:t>RESOLVED:</w:t>
            </w:r>
          </w:p>
          <w:p w14:paraId="2EAB280C" w14:textId="243E27F1" w:rsidR="008A6E2B" w:rsidRPr="00A86A17" w:rsidRDefault="008A6E2B" w:rsidP="008A6E2B">
            <w:pPr>
              <w:rPr>
                <w:sz w:val="22"/>
                <w:szCs w:val="22"/>
              </w:rPr>
            </w:pPr>
            <w:r w:rsidRPr="00795BE8">
              <w:rPr>
                <w:sz w:val="22"/>
                <w:szCs w:val="22"/>
              </w:rPr>
              <w:t>That</w:t>
            </w:r>
            <w:r>
              <w:rPr>
                <w:sz w:val="22"/>
                <w:szCs w:val="22"/>
              </w:rPr>
              <w:t xml:space="preserve">, subject to the provision of a reconciliation of factors affecting pay costs, </w:t>
            </w:r>
            <w:r w:rsidRPr="00795BE8">
              <w:rPr>
                <w:sz w:val="22"/>
                <w:szCs w:val="22"/>
              </w:rPr>
              <w:t>the</w:t>
            </w:r>
            <w:r>
              <w:rPr>
                <w:sz w:val="22"/>
                <w:szCs w:val="22"/>
              </w:rPr>
              <w:t xml:space="preserve"> Governing Board </w:t>
            </w:r>
            <w:proofErr w:type="gramStart"/>
            <w:r>
              <w:rPr>
                <w:sz w:val="22"/>
                <w:szCs w:val="22"/>
              </w:rPr>
              <w:t>be</w:t>
            </w:r>
            <w:proofErr w:type="gramEnd"/>
            <w:r>
              <w:rPr>
                <w:sz w:val="22"/>
                <w:szCs w:val="22"/>
              </w:rPr>
              <w:t xml:space="preserve"> recommended to approve the Financial Plan to 2020/21.</w:t>
            </w:r>
          </w:p>
          <w:p w14:paraId="3ED39EB6" w14:textId="4AA6417D" w:rsidR="00A07811" w:rsidRPr="00A07811" w:rsidRDefault="00A07811" w:rsidP="00A07811">
            <w:pPr>
              <w:jc w:val="both"/>
              <w:rPr>
                <w:bCs/>
                <w:sz w:val="22"/>
              </w:rPr>
            </w:pPr>
          </w:p>
        </w:tc>
      </w:tr>
      <w:tr w:rsidR="0079406A" w14:paraId="5352B0BA" w14:textId="77777777" w:rsidTr="0093520D">
        <w:trPr>
          <w:trHeight w:val="854"/>
        </w:trPr>
        <w:tc>
          <w:tcPr>
            <w:tcW w:w="534" w:type="dxa"/>
          </w:tcPr>
          <w:p w14:paraId="5D8B0C6D" w14:textId="51345A37" w:rsidR="0079406A" w:rsidRDefault="00B94C40" w:rsidP="002C366C">
            <w:pPr>
              <w:rPr>
                <w:b/>
                <w:bCs/>
                <w:sz w:val="22"/>
                <w:szCs w:val="20"/>
              </w:rPr>
            </w:pPr>
            <w:r>
              <w:rPr>
                <w:b/>
                <w:bCs/>
                <w:sz w:val="22"/>
                <w:szCs w:val="20"/>
              </w:rPr>
              <w:lastRenderedPageBreak/>
              <w:t>7</w:t>
            </w:r>
          </w:p>
          <w:p w14:paraId="3A68A117" w14:textId="77777777" w:rsidR="00A96BFB" w:rsidRDefault="00A96BFB" w:rsidP="002C366C">
            <w:pPr>
              <w:rPr>
                <w:b/>
                <w:bCs/>
                <w:sz w:val="22"/>
                <w:szCs w:val="20"/>
              </w:rPr>
            </w:pPr>
          </w:p>
          <w:p w14:paraId="5AF8D3FC" w14:textId="77777777" w:rsidR="00A5407C" w:rsidRDefault="00A5407C" w:rsidP="002C366C">
            <w:pPr>
              <w:rPr>
                <w:b/>
                <w:bCs/>
                <w:sz w:val="22"/>
                <w:szCs w:val="20"/>
              </w:rPr>
            </w:pPr>
          </w:p>
          <w:p w14:paraId="16E94237" w14:textId="77777777" w:rsidR="00A5407C" w:rsidRDefault="00A5407C" w:rsidP="002C366C">
            <w:pPr>
              <w:rPr>
                <w:b/>
                <w:bCs/>
                <w:sz w:val="22"/>
                <w:szCs w:val="20"/>
              </w:rPr>
            </w:pPr>
          </w:p>
          <w:p w14:paraId="6BF99DB1" w14:textId="77777777" w:rsidR="00A5407C" w:rsidRDefault="00A5407C" w:rsidP="002C366C">
            <w:pPr>
              <w:rPr>
                <w:b/>
                <w:bCs/>
                <w:sz w:val="22"/>
                <w:szCs w:val="20"/>
              </w:rPr>
            </w:pPr>
          </w:p>
        </w:tc>
        <w:tc>
          <w:tcPr>
            <w:tcW w:w="1417" w:type="dxa"/>
          </w:tcPr>
          <w:p w14:paraId="62238DC7" w14:textId="35FEDC7F"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1A7AA3">
              <w:rPr>
                <w:b/>
                <w:bCs/>
                <w:sz w:val="22"/>
              </w:rPr>
              <w:t>7</w:t>
            </w:r>
          </w:p>
          <w:p w14:paraId="529DF2AC" w14:textId="77777777" w:rsidR="00A96BFB" w:rsidRDefault="00A96BFB" w:rsidP="002C366C">
            <w:pPr>
              <w:rPr>
                <w:sz w:val="22"/>
              </w:rPr>
            </w:pPr>
          </w:p>
          <w:p w14:paraId="5DA75E2A" w14:textId="78D465FE" w:rsidR="00251727" w:rsidRDefault="00251727" w:rsidP="002C366C">
            <w:pPr>
              <w:rPr>
                <w:sz w:val="22"/>
              </w:rPr>
            </w:pPr>
          </w:p>
          <w:p w14:paraId="18FEAE92" w14:textId="5C0BF476" w:rsidR="001A7AA3" w:rsidRPr="00963CE9" w:rsidRDefault="001A7AA3" w:rsidP="001A7AA3">
            <w:pPr>
              <w:rPr>
                <w:sz w:val="22"/>
              </w:rPr>
            </w:pPr>
          </w:p>
        </w:tc>
        <w:tc>
          <w:tcPr>
            <w:tcW w:w="9037" w:type="dxa"/>
          </w:tcPr>
          <w:p w14:paraId="7D7BE5B6" w14:textId="5487BB91" w:rsidR="0079406A" w:rsidRPr="00B45ACD" w:rsidRDefault="00A07811" w:rsidP="002C366C">
            <w:pPr>
              <w:rPr>
                <w:b/>
                <w:sz w:val="22"/>
                <w:szCs w:val="22"/>
              </w:rPr>
            </w:pPr>
            <w:r>
              <w:rPr>
                <w:b/>
                <w:sz w:val="22"/>
                <w:szCs w:val="22"/>
              </w:rPr>
              <w:t>SUB-CONTRACTING STRATEGY 2019/20</w:t>
            </w:r>
          </w:p>
          <w:p w14:paraId="15286CAF" w14:textId="77777777" w:rsidR="00A96BFB" w:rsidRPr="00B45ACD" w:rsidRDefault="00A96BFB" w:rsidP="002C366C">
            <w:pPr>
              <w:rPr>
                <w:b/>
                <w:sz w:val="22"/>
                <w:szCs w:val="22"/>
              </w:rPr>
            </w:pPr>
          </w:p>
          <w:p w14:paraId="27B78D4D" w14:textId="36DCCF5A" w:rsidR="002C6138" w:rsidRDefault="002C6138" w:rsidP="00163A2C">
            <w:pPr>
              <w:spacing w:line="276" w:lineRule="auto"/>
              <w:rPr>
                <w:bCs/>
                <w:sz w:val="22"/>
                <w:szCs w:val="20"/>
              </w:rPr>
            </w:pPr>
            <w:r w:rsidRPr="00213F00">
              <w:rPr>
                <w:bCs/>
                <w:sz w:val="22"/>
                <w:szCs w:val="20"/>
              </w:rPr>
              <w:t xml:space="preserve">The </w:t>
            </w:r>
            <w:r w:rsidR="00A07811" w:rsidRPr="00213F00">
              <w:rPr>
                <w:bCs/>
                <w:sz w:val="22"/>
                <w:szCs w:val="20"/>
              </w:rPr>
              <w:t>Assistant</w:t>
            </w:r>
            <w:r w:rsidRPr="00213F00">
              <w:rPr>
                <w:bCs/>
                <w:sz w:val="22"/>
                <w:szCs w:val="20"/>
              </w:rPr>
              <w:t xml:space="preserve"> Principal</w:t>
            </w:r>
            <w:r w:rsidR="00A07811" w:rsidRPr="00213F00">
              <w:rPr>
                <w:bCs/>
                <w:sz w:val="22"/>
                <w:szCs w:val="20"/>
              </w:rPr>
              <w:t xml:space="preserve"> </w:t>
            </w:r>
            <w:r w:rsidR="00213F00">
              <w:rPr>
                <w:bCs/>
                <w:sz w:val="22"/>
                <w:szCs w:val="20"/>
              </w:rPr>
              <w:t>reminded members of the Governing Board’s aim to reduce sub-contracted activity. He confirmed that the proposed strategy for 2019/20 reduced the number of partners from five to four and the value of sub-contracted provision as a percentage of total provision from 7% to 4%. Members discussed a number of recent changes in sub-contracted provision and noted that the prosed strategy included the introduction of a new partner, Wigan Athletic Community Trust, to support the college’s sports provision and local professional sports teams. The Assistant Principal advised that this activity was subject to successful due diligence. Despite the overall reduction in sub-contracting values, it was also noted that the proposed strategy included an increase in activity with Groundwork Trust.</w:t>
            </w:r>
          </w:p>
          <w:p w14:paraId="77D63648" w14:textId="77777777" w:rsidR="009E2A82" w:rsidRDefault="009E2A82" w:rsidP="00163A2C">
            <w:pPr>
              <w:spacing w:line="276" w:lineRule="auto"/>
              <w:rPr>
                <w:bCs/>
                <w:sz w:val="22"/>
                <w:szCs w:val="20"/>
              </w:rPr>
            </w:pPr>
          </w:p>
          <w:p w14:paraId="6FED6E46" w14:textId="13698FB2" w:rsidR="009E2A82" w:rsidRDefault="009E2A82" w:rsidP="00163A2C">
            <w:pPr>
              <w:spacing w:line="276" w:lineRule="auto"/>
              <w:rPr>
                <w:bCs/>
                <w:sz w:val="22"/>
                <w:szCs w:val="20"/>
              </w:rPr>
            </w:pPr>
            <w:r>
              <w:rPr>
                <w:bCs/>
                <w:sz w:val="22"/>
                <w:szCs w:val="20"/>
              </w:rPr>
              <w:t xml:space="preserve">The Assistant </w:t>
            </w:r>
            <w:r w:rsidR="00C04F65">
              <w:rPr>
                <w:bCs/>
                <w:sz w:val="22"/>
                <w:szCs w:val="20"/>
              </w:rPr>
              <w:t xml:space="preserve">Principal </w:t>
            </w:r>
            <w:r>
              <w:rPr>
                <w:bCs/>
                <w:sz w:val="22"/>
                <w:szCs w:val="20"/>
              </w:rPr>
              <w:t>provided clarification that the strategy values reflected the amount of funding drawn down by the college, rather than the values paid to partners. He also explained that, despite the fall in activity, values had been increased by the addition of employer incentive payments. It was noted that this was a sector norm and reflected payments made to employers to encourage the employment of apprentices.</w:t>
            </w:r>
          </w:p>
          <w:p w14:paraId="4B6AB298" w14:textId="77777777" w:rsidR="009E2A82" w:rsidRDefault="009E2A82" w:rsidP="00163A2C">
            <w:pPr>
              <w:spacing w:line="276" w:lineRule="auto"/>
              <w:rPr>
                <w:bCs/>
                <w:sz w:val="22"/>
                <w:szCs w:val="20"/>
              </w:rPr>
            </w:pPr>
          </w:p>
          <w:p w14:paraId="08C62AC4" w14:textId="77777777" w:rsidR="009E2A82" w:rsidRPr="00795BE8" w:rsidRDefault="009E2A82" w:rsidP="009E2A82">
            <w:pPr>
              <w:rPr>
                <w:b/>
                <w:sz w:val="22"/>
                <w:szCs w:val="22"/>
              </w:rPr>
            </w:pPr>
            <w:r w:rsidRPr="00795BE8">
              <w:rPr>
                <w:b/>
                <w:sz w:val="22"/>
                <w:szCs w:val="22"/>
              </w:rPr>
              <w:t>RESOLVED:</w:t>
            </w:r>
          </w:p>
          <w:p w14:paraId="57523B9F" w14:textId="1AA4A773" w:rsidR="009E2A82" w:rsidRPr="00213F00" w:rsidRDefault="009E2A82" w:rsidP="009E2A82">
            <w:pPr>
              <w:spacing w:line="276" w:lineRule="auto"/>
              <w:rPr>
                <w:bCs/>
                <w:sz w:val="22"/>
                <w:szCs w:val="20"/>
              </w:rPr>
            </w:pPr>
            <w:r w:rsidRPr="00795BE8">
              <w:rPr>
                <w:sz w:val="22"/>
                <w:szCs w:val="22"/>
              </w:rPr>
              <w:t>That</w:t>
            </w:r>
            <w:r>
              <w:rPr>
                <w:sz w:val="22"/>
                <w:szCs w:val="22"/>
              </w:rPr>
              <w:t xml:space="preserve"> </w:t>
            </w:r>
            <w:r w:rsidRPr="00795BE8">
              <w:rPr>
                <w:sz w:val="22"/>
                <w:szCs w:val="22"/>
              </w:rPr>
              <w:t>the</w:t>
            </w:r>
            <w:r>
              <w:rPr>
                <w:sz w:val="22"/>
                <w:szCs w:val="22"/>
              </w:rPr>
              <w:t xml:space="preserve"> Governing Board be recommended to approve the Sub-contracting Strategy for 2019/20.</w:t>
            </w:r>
          </w:p>
          <w:p w14:paraId="390D6E71" w14:textId="6C8B9CBA" w:rsidR="00215214" w:rsidRPr="00215214" w:rsidRDefault="00215214" w:rsidP="00A07811">
            <w:pPr>
              <w:spacing w:line="276" w:lineRule="auto"/>
              <w:rPr>
                <w:sz w:val="22"/>
                <w:szCs w:val="22"/>
                <w:lang w:eastAsia="zh-CN"/>
              </w:rPr>
            </w:pPr>
          </w:p>
        </w:tc>
      </w:tr>
      <w:tr w:rsidR="002C6B22" w14:paraId="612D4EF2" w14:textId="77777777" w:rsidTr="0093520D">
        <w:trPr>
          <w:trHeight w:val="854"/>
        </w:trPr>
        <w:tc>
          <w:tcPr>
            <w:tcW w:w="534" w:type="dxa"/>
          </w:tcPr>
          <w:p w14:paraId="2652BAF2" w14:textId="611ABE65" w:rsidR="002C6B22" w:rsidRDefault="002C6B22" w:rsidP="002C366C">
            <w:pPr>
              <w:rPr>
                <w:b/>
                <w:bCs/>
                <w:sz w:val="22"/>
                <w:szCs w:val="20"/>
              </w:rPr>
            </w:pPr>
            <w:r>
              <w:rPr>
                <w:b/>
                <w:bCs/>
                <w:sz w:val="22"/>
                <w:szCs w:val="20"/>
              </w:rPr>
              <w:t>8</w:t>
            </w:r>
          </w:p>
          <w:p w14:paraId="4EDA948E" w14:textId="77777777" w:rsidR="002C6B22" w:rsidRDefault="002C6B22" w:rsidP="002C366C">
            <w:pPr>
              <w:rPr>
                <w:b/>
                <w:bCs/>
                <w:sz w:val="22"/>
                <w:szCs w:val="20"/>
              </w:rPr>
            </w:pPr>
          </w:p>
          <w:p w14:paraId="3281DFBB" w14:textId="77777777" w:rsidR="002C6B22" w:rsidRDefault="002C6B22" w:rsidP="004B2292">
            <w:pPr>
              <w:rPr>
                <w:b/>
                <w:bCs/>
                <w:sz w:val="22"/>
                <w:szCs w:val="20"/>
              </w:rPr>
            </w:pPr>
          </w:p>
        </w:tc>
        <w:tc>
          <w:tcPr>
            <w:tcW w:w="1417" w:type="dxa"/>
          </w:tcPr>
          <w:p w14:paraId="3B70E219" w14:textId="795E131A"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/0</w:t>
            </w:r>
            <w:r w:rsidR="001A7AA3">
              <w:rPr>
                <w:b/>
                <w:bCs/>
                <w:sz w:val="22"/>
              </w:rPr>
              <w:t>8</w:t>
            </w:r>
          </w:p>
          <w:p w14:paraId="749EB8C3" w14:textId="77777777" w:rsidR="002C6B22" w:rsidRDefault="002C6B22" w:rsidP="002C366C">
            <w:pPr>
              <w:rPr>
                <w:sz w:val="22"/>
              </w:rPr>
            </w:pPr>
          </w:p>
        </w:tc>
        <w:tc>
          <w:tcPr>
            <w:tcW w:w="9037" w:type="dxa"/>
          </w:tcPr>
          <w:p w14:paraId="08230F53" w14:textId="071F1C5D" w:rsidR="002C6B22" w:rsidRPr="004B2292" w:rsidRDefault="00A07811" w:rsidP="002C366C">
            <w:pPr>
              <w:rPr>
                <w:b/>
                <w:sz w:val="22"/>
                <w:szCs w:val="22"/>
              </w:rPr>
            </w:pPr>
            <w:r>
              <w:rPr>
                <w:b/>
                <w:sz w:val="22"/>
                <w:szCs w:val="22"/>
              </w:rPr>
              <w:t>INSOLVENCY REGIME CHECKLIST</w:t>
            </w:r>
          </w:p>
          <w:p w14:paraId="440F87A4" w14:textId="77777777" w:rsidR="002C6B22" w:rsidRPr="004B2292" w:rsidRDefault="002C6B22" w:rsidP="002C366C">
            <w:pPr>
              <w:rPr>
                <w:b/>
                <w:sz w:val="22"/>
                <w:szCs w:val="22"/>
              </w:rPr>
            </w:pPr>
          </w:p>
          <w:p w14:paraId="3CE12357" w14:textId="27B5F91B" w:rsidR="00021E05" w:rsidRDefault="00021E05" w:rsidP="00021E05">
            <w:pPr>
              <w:spacing w:line="276" w:lineRule="auto"/>
              <w:rPr>
                <w:bCs/>
                <w:sz w:val="22"/>
                <w:szCs w:val="20"/>
              </w:rPr>
            </w:pPr>
            <w:r>
              <w:rPr>
                <w:bCs/>
                <w:sz w:val="22"/>
                <w:szCs w:val="20"/>
              </w:rPr>
              <w:t xml:space="preserve">The Finance Director </w:t>
            </w:r>
            <w:r w:rsidR="00A07811">
              <w:rPr>
                <w:bCs/>
                <w:sz w:val="22"/>
                <w:szCs w:val="20"/>
              </w:rPr>
              <w:t xml:space="preserve">reminded members that the Governing Board had asked that a report be presented to the committee demonstrating the ways in which the college met expectations in relation to known concerns associated with insolvency. </w:t>
            </w:r>
            <w:r w:rsidR="00A07811" w:rsidRPr="00F2408E">
              <w:rPr>
                <w:bCs/>
                <w:sz w:val="22"/>
                <w:szCs w:val="20"/>
              </w:rPr>
              <w:t xml:space="preserve">He </w:t>
            </w:r>
            <w:r w:rsidR="00F2408E">
              <w:rPr>
                <w:bCs/>
                <w:sz w:val="22"/>
                <w:szCs w:val="20"/>
              </w:rPr>
              <w:t xml:space="preserve">drew members’ attention to a checklist attached to his report showing the ways in which the college responded to insolvency risks. This included controls and assurances provided to the Board in the form of management accounts, cash flow forecasts and other reports. It also included a summary of how each report was presented to the Executive Team, the Resources Committee and the Governing Board. Members noted that each factor within the checklist had been ‘rag rated’ and that each was categorised as a ‘green’ risk. It was also noted that an Insolvency Regime development session for governors had been delivered at the college </w:t>
            </w:r>
            <w:r w:rsidR="005E6AD8">
              <w:rPr>
                <w:bCs/>
                <w:sz w:val="22"/>
                <w:szCs w:val="20"/>
              </w:rPr>
              <w:t xml:space="preserve">by the Internal Auditor </w:t>
            </w:r>
            <w:r w:rsidR="00F2408E">
              <w:rPr>
                <w:bCs/>
                <w:sz w:val="22"/>
                <w:szCs w:val="20"/>
              </w:rPr>
              <w:t>on the previous afternoon.</w:t>
            </w:r>
          </w:p>
          <w:p w14:paraId="04F25ED9" w14:textId="77777777" w:rsidR="002C6B22" w:rsidRPr="002C6B22" w:rsidRDefault="002C6B22" w:rsidP="00A07811">
            <w:pPr>
              <w:spacing w:line="276" w:lineRule="auto"/>
            </w:pPr>
          </w:p>
        </w:tc>
      </w:tr>
      <w:tr w:rsidR="00021E05" w14:paraId="1B5F73B2" w14:textId="77777777" w:rsidTr="0093520D">
        <w:trPr>
          <w:trHeight w:val="854"/>
        </w:trPr>
        <w:tc>
          <w:tcPr>
            <w:tcW w:w="534" w:type="dxa"/>
          </w:tcPr>
          <w:p w14:paraId="151CDF2F" w14:textId="77777777" w:rsidR="00021E05" w:rsidRDefault="00021E05" w:rsidP="00021E05">
            <w:pPr>
              <w:rPr>
                <w:b/>
                <w:bCs/>
                <w:sz w:val="22"/>
              </w:rPr>
            </w:pPr>
            <w:r>
              <w:rPr>
                <w:b/>
                <w:bCs/>
                <w:sz w:val="22"/>
              </w:rPr>
              <w:t>9</w:t>
            </w:r>
          </w:p>
          <w:p w14:paraId="2C8B2281" w14:textId="77777777" w:rsidR="00021E05" w:rsidRDefault="00021E05" w:rsidP="00021E05">
            <w:pPr>
              <w:rPr>
                <w:b/>
                <w:bCs/>
                <w:sz w:val="22"/>
                <w:szCs w:val="20"/>
              </w:rPr>
            </w:pPr>
          </w:p>
        </w:tc>
        <w:tc>
          <w:tcPr>
            <w:tcW w:w="1417" w:type="dxa"/>
          </w:tcPr>
          <w:p w14:paraId="0FAACA18" w14:textId="32F60A31" w:rsidR="00021E05" w:rsidRDefault="00021E05" w:rsidP="00021E05">
            <w:pPr>
              <w:rPr>
                <w:b/>
                <w:bCs/>
                <w:sz w:val="22"/>
              </w:rPr>
            </w:pPr>
            <w:r>
              <w:rPr>
                <w:b/>
                <w:bCs/>
                <w:sz w:val="22"/>
              </w:rPr>
              <w:t>R/1</w:t>
            </w:r>
            <w:r w:rsidR="003C7607">
              <w:rPr>
                <w:b/>
                <w:bCs/>
                <w:sz w:val="22"/>
              </w:rPr>
              <w:t>3</w:t>
            </w:r>
            <w:r>
              <w:rPr>
                <w:b/>
                <w:bCs/>
                <w:sz w:val="22"/>
              </w:rPr>
              <w:t>/0</w:t>
            </w:r>
            <w:r w:rsidR="003C7607">
              <w:rPr>
                <w:b/>
                <w:bCs/>
                <w:sz w:val="22"/>
              </w:rPr>
              <w:t>6</w:t>
            </w:r>
            <w:r>
              <w:rPr>
                <w:b/>
                <w:bCs/>
                <w:sz w:val="22"/>
              </w:rPr>
              <w:t>/09</w:t>
            </w:r>
          </w:p>
          <w:p w14:paraId="70B77E23" w14:textId="77777777" w:rsidR="00021E05" w:rsidRDefault="00021E05" w:rsidP="00021E05">
            <w:pPr>
              <w:rPr>
                <w:b/>
                <w:bCs/>
                <w:sz w:val="22"/>
              </w:rPr>
            </w:pPr>
          </w:p>
        </w:tc>
        <w:tc>
          <w:tcPr>
            <w:tcW w:w="9037" w:type="dxa"/>
          </w:tcPr>
          <w:p w14:paraId="26EBE279" w14:textId="2F572C72" w:rsidR="00021E05" w:rsidRDefault="00021E05" w:rsidP="00021E05">
            <w:pPr>
              <w:rPr>
                <w:b/>
                <w:sz w:val="22"/>
                <w:szCs w:val="22"/>
              </w:rPr>
            </w:pPr>
            <w:r>
              <w:rPr>
                <w:b/>
                <w:sz w:val="22"/>
                <w:szCs w:val="22"/>
              </w:rPr>
              <w:t xml:space="preserve">CAPITAL </w:t>
            </w:r>
            <w:r w:rsidR="00A07811">
              <w:rPr>
                <w:b/>
                <w:sz w:val="22"/>
                <w:szCs w:val="22"/>
              </w:rPr>
              <w:t>PROJECT</w:t>
            </w:r>
            <w:r>
              <w:rPr>
                <w:b/>
                <w:sz w:val="22"/>
                <w:szCs w:val="22"/>
              </w:rPr>
              <w:t>S UPDATE</w:t>
            </w:r>
          </w:p>
          <w:p w14:paraId="425BF607" w14:textId="77777777" w:rsidR="00021E05" w:rsidRDefault="00021E05" w:rsidP="00021E05">
            <w:pPr>
              <w:rPr>
                <w:b/>
                <w:sz w:val="22"/>
                <w:szCs w:val="22"/>
              </w:rPr>
            </w:pPr>
          </w:p>
          <w:p w14:paraId="0B225974" w14:textId="6014E145" w:rsidR="005E6AD8" w:rsidRDefault="00021E05" w:rsidP="00021E05">
            <w:pPr>
              <w:spacing w:line="276" w:lineRule="auto"/>
              <w:rPr>
                <w:bCs/>
                <w:sz w:val="22"/>
                <w:szCs w:val="20"/>
              </w:rPr>
            </w:pPr>
            <w:r>
              <w:rPr>
                <w:bCs/>
                <w:sz w:val="22"/>
                <w:szCs w:val="20"/>
              </w:rPr>
              <w:t xml:space="preserve">The Vice Principal, Corporate Services </w:t>
            </w:r>
            <w:r w:rsidR="00FF5A73">
              <w:rPr>
                <w:bCs/>
                <w:sz w:val="22"/>
                <w:szCs w:val="20"/>
              </w:rPr>
              <w:t>provided a brief update on</w:t>
            </w:r>
            <w:r w:rsidR="005E6AD8">
              <w:rPr>
                <w:bCs/>
                <w:sz w:val="22"/>
                <w:szCs w:val="20"/>
              </w:rPr>
              <w:t xml:space="preserve"> capital projects and reminded members that a full report would be provided to the Governing Board at its next meeting. The Vice Principal confirmed that work had now commenced on the Pagefield Centre and that the funding letter from Greater Manchester Combined Authority</w:t>
            </w:r>
            <w:r w:rsidR="00FF5A73">
              <w:rPr>
                <w:bCs/>
                <w:sz w:val="22"/>
                <w:szCs w:val="20"/>
              </w:rPr>
              <w:t xml:space="preserve"> </w:t>
            </w:r>
            <w:r w:rsidR="005E6AD8">
              <w:rPr>
                <w:bCs/>
                <w:sz w:val="22"/>
                <w:szCs w:val="20"/>
              </w:rPr>
              <w:t>had been received. However, members noted that the college was still waiting to receive the detailed breakdown of funding and monitoring criteria. The Vice Principal also advised that the options appraisal for the Centre for the Arts was progressing and would be reported at the forthcoming Governing Board meeting.</w:t>
            </w:r>
          </w:p>
          <w:p w14:paraId="4A6EE54C" w14:textId="2617C127" w:rsidR="00021E05" w:rsidRDefault="00021E05" w:rsidP="005E6AD8">
            <w:pPr>
              <w:spacing w:line="276" w:lineRule="auto"/>
              <w:rPr>
                <w:b/>
                <w:sz w:val="22"/>
                <w:szCs w:val="22"/>
              </w:rPr>
            </w:pPr>
          </w:p>
        </w:tc>
      </w:tr>
      <w:tr w:rsidR="0079406A" w14:paraId="47283A87" w14:textId="77777777" w:rsidTr="0093520D">
        <w:trPr>
          <w:trHeight w:val="364"/>
        </w:trPr>
        <w:tc>
          <w:tcPr>
            <w:tcW w:w="534" w:type="dxa"/>
          </w:tcPr>
          <w:p w14:paraId="223A88E3" w14:textId="25DEC02B" w:rsidR="0079406A" w:rsidRDefault="00021E05" w:rsidP="002C366C">
            <w:pPr>
              <w:rPr>
                <w:b/>
                <w:bCs/>
                <w:sz w:val="22"/>
              </w:rPr>
            </w:pPr>
            <w:r>
              <w:rPr>
                <w:b/>
                <w:bCs/>
                <w:sz w:val="22"/>
              </w:rPr>
              <w:t>10</w:t>
            </w:r>
          </w:p>
          <w:p w14:paraId="3AA22051" w14:textId="77777777" w:rsidR="00A5407C" w:rsidRPr="00963CE9" w:rsidRDefault="00A5407C" w:rsidP="004B2292">
            <w:pPr>
              <w:rPr>
                <w:b/>
                <w:bCs/>
                <w:sz w:val="22"/>
              </w:rPr>
            </w:pPr>
          </w:p>
        </w:tc>
        <w:tc>
          <w:tcPr>
            <w:tcW w:w="1417" w:type="dxa"/>
          </w:tcPr>
          <w:p w14:paraId="78BE9193" w14:textId="3D48D12D" w:rsidR="0093520D" w:rsidRDefault="0093520D" w:rsidP="0093520D">
            <w:pPr>
              <w:rPr>
                <w:b/>
                <w:bCs/>
                <w:sz w:val="22"/>
              </w:rPr>
            </w:pPr>
            <w:r>
              <w:rPr>
                <w:b/>
                <w:bCs/>
                <w:sz w:val="22"/>
              </w:rPr>
              <w:t>R/</w:t>
            </w:r>
            <w:r w:rsidR="00A730ED">
              <w:rPr>
                <w:b/>
                <w:bCs/>
                <w:sz w:val="22"/>
              </w:rPr>
              <w:t>1</w:t>
            </w:r>
            <w:r w:rsidR="003C7607">
              <w:rPr>
                <w:b/>
                <w:bCs/>
                <w:sz w:val="22"/>
              </w:rPr>
              <w:t>3</w:t>
            </w:r>
            <w:r w:rsidR="00A730ED">
              <w:rPr>
                <w:b/>
                <w:bCs/>
                <w:sz w:val="22"/>
              </w:rPr>
              <w:t>/0</w:t>
            </w:r>
            <w:r w:rsidR="003C7607">
              <w:rPr>
                <w:b/>
                <w:bCs/>
                <w:sz w:val="22"/>
              </w:rPr>
              <w:t>6</w:t>
            </w:r>
            <w:r>
              <w:rPr>
                <w:b/>
                <w:bCs/>
                <w:sz w:val="22"/>
              </w:rPr>
              <w:t>/</w:t>
            </w:r>
            <w:r w:rsidR="00021E05">
              <w:rPr>
                <w:b/>
                <w:bCs/>
                <w:sz w:val="22"/>
              </w:rPr>
              <w:t>10</w:t>
            </w:r>
          </w:p>
          <w:p w14:paraId="41E39F8D" w14:textId="77777777" w:rsidR="0079406A" w:rsidRPr="00963CE9" w:rsidRDefault="0079406A" w:rsidP="002C366C">
            <w:pPr>
              <w:rPr>
                <w:sz w:val="22"/>
              </w:rPr>
            </w:pPr>
          </w:p>
        </w:tc>
        <w:tc>
          <w:tcPr>
            <w:tcW w:w="9037" w:type="dxa"/>
          </w:tcPr>
          <w:p w14:paraId="546CB478" w14:textId="77777777" w:rsidR="00F30237" w:rsidRDefault="0079406A" w:rsidP="002C366C">
            <w:pPr>
              <w:rPr>
                <w:b/>
                <w:bCs/>
                <w:sz w:val="22"/>
              </w:rPr>
            </w:pPr>
            <w:r w:rsidRPr="00963CE9">
              <w:rPr>
                <w:b/>
                <w:bCs/>
                <w:sz w:val="22"/>
              </w:rPr>
              <w:t>ANY OTHER BUSINESS</w:t>
            </w:r>
            <w:r>
              <w:rPr>
                <w:b/>
                <w:bCs/>
                <w:sz w:val="22"/>
              </w:rPr>
              <w:t xml:space="preserve"> </w:t>
            </w:r>
          </w:p>
          <w:p w14:paraId="69544E09" w14:textId="77777777" w:rsidR="00DD0102" w:rsidRDefault="00DD0102" w:rsidP="002C366C">
            <w:pPr>
              <w:rPr>
                <w:bCs/>
                <w:sz w:val="22"/>
              </w:rPr>
            </w:pPr>
          </w:p>
          <w:p w14:paraId="6242A56E" w14:textId="367B5D82" w:rsidR="00BE64AE" w:rsidRPr="005E6AD8" w:rsidRDefault="00FF5A73" w:rsidP="002C366C">
            <w:pPr>
              <w:rPr>
                <w:bCs/>
                <w:sz w:val="22"/>
              </w:rPr>
            </w:pPr>
            <w:r w:rsidRPr="005E6AD8">
              <w:rPr>
                <w:bCs/>
                <w:sz w:val="22"/>
              </w:rPr>
              <w:t>The</w:t>
            </w:r>
            <w:r w:rsidR="005E6AD8" w:rsidRPr="005E6AD8">
              <w:rPr>
                <w:bCs/>
                <w:sz w:val="22"/>
              </w:rPr>
              <w:t>re was no further business.</w:t>
            </w:r>
            <w:r w:rsidRPr="005E6AD8">
              <w:rPr>
                <w:bCs/>
                <w:sz w:val="22"/>
              </w:rPr>
              <w:t xml:space="preserve"> </w:t>
            </w:r>
          </w:p>
          <w:p w14:paraId="31D157F6" w14:textId="77777777" w:rsidR="00E86447" w:rsidRPr="00963CE9" w:rsidRDefault="00E86447" w:rsidP="002C366C">
            <w:pPr>
              <w:rPr>
                <w:b/>
                <w:bCs/>
                <w:sz w:val="22"/>
              </w:rPr>
            </w:pPr>
          </w:p>
        </w:tc>
      </w:tr>
      <w:tr w:rsidR="0079406A" w14:paraId="3F20CF87" w14:textId="77777777" w:rsidTr="0093520D">
        <w:trPr>
          <w:trHeight w:val="364"/>
        </w:trPr>
        <w:tc>
          <w:tcPr>
            <w:tcW w:w="534" w:type="dxa"/>
          </w:tcPr>
          <w:p w14:paraId="6D5A35CA" w14:textId="1D464E91" w:rsidR="00A5407C" w:rsidRPr="00963CE9" w:rsidRDefault="0079406A" w:rsidP="00021E05">
            <w:pPr>
              <w:rPr>
                <w:b/>
                <w:bCs/>
                <w:sz w:val="22"/>
              </w:rPr>
            </w:pPr>
            <w:r>
              <w:rPr>
                <w:b/>
                <w:bCs/>
                <w:sz w:val="22"/>
              </w:rPr>
              <w:lastRenderedPageBreak/>
              <w:t>1</w:t>
            </w:r>
            <w:r w:rsidR="00021E05">
              <w:rPr>
                <w:b/>
                <w:bCs/>
                <w:sz w:val="22"/>
              </w:rPr>
              <w:t>1</w:t>
            </w:r>
          </w:p>
        </w:tc>
        <w:tc>
          <w:tcPr>
            <w:tcW w:w="1417" w:type="dxa"/>
          </w:tcPr>
          <w:p w14:paraId="38CE840A" w14:textId="77777777" w:rsidR="0079406A" w:rsidRPr="00963CE9" w:rsidRDefault="0079406A" w:rsidP="002C366C">
            <w:pPr>
              <w:rPr>
                <w:sz w:val="22"/>
              </w:rPr>
            </w:pPr>
          </w:p>
        </w:tc>
        <w:tc>
          <w:tcPr>
            <w:tcW w:w="9037" w:type="dxa"/>
          </w:tcPr>
          <w:p w14:paraId="65AC3EA2" w14:textId="749DFAB3" w:rsidR="00E86447" w:rsidRPr="002C6B22" w:rsidRDefault="0079406A" w:rsidP="00DD0102">
            <w:pPr>
              <w:rPr>
                <w:bCs/>
                <w:sz w:val="22"/>
              </w:rPr>
            </w:pPr>
            <w:r w:rsidRPr="00963CE9">
              <w:rPr>
                <w:b/>
                <w:bCs/>
                <w:sz w:val="22"/>
              </w:rPr>
              <w:t xml:space="preserve">DATE AND TIME OF </w:t>
            </w:r>
            <w:r>
              <w:rPr>
                <w:b/>
                <w:bCs/>
                <w:sz w:val="22"/>
              </w:rPr>
              <w:t xml:space="preserve">NEXT </w:t>
            </w:r>
            <w:r w:rsidR="00A96BFB">
              <w:rPr>
                <w:b/>
                <w:bCs/>
                <w:sz w:val="22"/>
              </w:rPr>
              <w:t xml:space="preserve">MEETING: </w:t>
            </w:r>
            <w:r w:rsidR="001A7AA3">
              <w:rPr>
                <w:bCs/>
                <w:sz w:val="22"/>
              </w:rPr>
              <w:t xml:space="preserve">5.00pm Thursday </w:t>
            </w:r>
            <w:r w:rsidR="003C7607">
              <w:rPr>
                <w:bCs/>
                <w:sz w:val="22"/>
              </w:rPr>
              <w:t>21</w:t>
            </w:r>
            <w:r w:rsidR="003C7607" w:rsidRPr="003C7607">
              <w:rPr>
                <w:bCs/>
                <w:sz w:val="22"/>
                <w:vertAlign w:val="superscript"/>
              </w:rPr>
              <w:t>st</w:t>
            </w:r>
            <w:r w:rsidR="003C7607">
              <w:rPr>
                <w:bCs/>
                <w:sz w:val="22"/>
              </w:rPr>
              <w:t xml:space="preserve"> November</w:t>
            </w:r>
            <w:r w:rsidR="001A7AA3">
              <w:rPr>
                <w:bCs/>
                <w:sz w:val="22"/>
              </w:rPr>
              <w:t xml:space="preserve"> 2019</w:t>
            </w:r>
            <w:r w:rsidR="003C7607">
              <w:rPr>
                <w:bCs/>
                <w:sz w:val="22"/>
              </w:rPr>
              <w:t xml:space="preserve"> (subject to Governing Board approval)</w:t>
            </w:r>
          </w:p>
          <w:p w14:paraId="1BEBC63D" w14:textId="77777777" w:rsidR="00A96BFB" w:rsidRPr="00FF6642" w:rsidRDefault="00A96BFB" w:rsidP="00DD0102">
            <w:pPr>
              <w:rPr>
                <w:sz w:val="22"/>
              </w:rPr>
            </w:pPr>
          </w:p>
        </w:tc>
      </w:tr>
      <w:tr w:rsidR="00F30237" w14:paraId="12694A7C" w14:textId="77777777" w:rsidTr="0093520D">
        <w:trPr>
          <w:trHeight w:val="364"/>
        </w:trPr>
        <w:tc>
          <w:tcPr>
            <w:tcW w:w="534" w:type="dxa"/>
            <w:shd w:val="clear" w:color="auto" w:fill="BFBFBF" w:themeFill="background1" w:themeFillShade="BF"/>
          </w:tcPr>
          <w:p w14:paraId="68C63ED0" w14:textId="77777777" w:rsidR="00F30237" w:rsidRDefault="00F30237" w:rsidP="002C366C">
            <w:pPr>
              <w:rPr>
                <w:b/>
                <w:bCs/>
                <w:sz w:val="22"/>
              </w:rPr>
            </w:pPr>
          </w:p>
        </w:tc>
        <w:tc>
          <w:tcPr>
            <w:tcW w:w="1417" w:type="dxa"/>
            <w:shd w:val="clear" w:color="auto" w:fill="BFBFBF" w:themeFill="background1" w:themeFillShade="BF"/>
          </w:tcPr>
          <w:p w14:paraId="1864AA6D" w14:textId="77777777" w:rsidR="00F30237" w:rsidRPr="00963CE9" w:rsidRDefault="00F30237" w:rsidP="002C366C">
            <w:pPr>
              <w:rPr>
                <w:sz w:val="22"/>
              </w:rPr>
            </w:pPr>
          </w:p>
        </w:tc>
        <w:tc>
          <w:tcPr>
            <w:tcW w:w="9037" w:type="dxa"/>
            <w:shd w:val="clear" w:color="auto" w:fill="BFBFBF" w:themeFill="background1" w:themeFillShade="BF"/>
          </w:tcPr>
          <w:p w14:paraId="68EACA8C" w14:textId="2FF405BE" w:rsidR="00F30237" w:rsidRPr="00963CE9" w:rsidRDefault="00F30237" w:rsidP="004B5B93">
            <w:pPr>
              <w:rPr>
                <w:b/>
                <w:bCs/>
                <w:sz w:val="22"/>
              </w:rPr>
            </w:pPr>
            <w:r>
              <w:rPr>
                <w:b/>
                <w:bCs/>
                <w:sz w:val="22"/>
              </w:rPr>
              <w:t xml:space="preserve">The meeting closed </w:t>
            </w:r>
            <w:r w:rsidRPr="0081662C">
              <w:rPr>
                <w:b/>
                <w:bCs/>
                <w:sz w:val="22"/>
              </w:rPr>
              <w:t xml:space="preserve">at </w:t>
            </w:r>
            <w:r w:rsidR="005E6AD8" w:rsidRPr="005E6AD8">
              <w:rPr>
                <w:b/>
                <w:bCs/>
                <w:sz w:val="22"/>
              </w:rPr>
              <w:t>7.</w:t>
            </w:r>
            <w:r w:rsidR="004B5B93">
              <w:rPr>
                <w:b/>
                <w:bCs/>
                <w:sz w:val="22"/>
              </w:rPr>
              <w:t>4</w:t>
            </w:r>
            <w:r w:rsidR="005E6AD8" w:rsidRPr="005E6AD8">
              <w:rPr>
                <w:b/>
                <w:bCs/>
                <w:sz w:val="22"/>
              </w:rPr>
              <w:t>0</w:t>
            </w:r>
            <w:r w:rsidRPr="005E6AD8">
              <w:rPr>
                <w:b/>
                <w:bCs/>
                <w:sz w:val="22"/>
              </w:rPr>
              <w:t>pm</w:t>
            </w:r>
          </w:p>
        </w:tc>
      </w:tr>
    </w:tbl>
    <w:p w14:paraId="6C5B208E" w14:textId="77777777" w:rsidR="007F4801" w:rsidRDefault="007F4801" w:rsidP="00FA0992">
      <w:pPr>
        <w:pStyle w:val="Header"/>
        <w:tabs>
          <w:tab w:val="clear" w:pos="4153"/>
          <w:tab w:val="clear" w:pos="8306"/>
        </w:tabs>
      </w:pPr>
    </w:p>
    <w:sectPr w:rsidR="007F4801" w:rsidSect="00FB498D">
      <w:headerReference w:type="default" r:id="rId9"/>
      <w:footerReference w:type="default" r:id="rId10"/>
      <w:pgSz w:w="11906" w:h="16838"/>
      <w:pgMar w:top="567" w:right="567" w:bottom="360" w:left="567"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B298" w14:textId="77777777" w:rsidR="00035D1E" w:rsidRDefault="00035D1E">
      <w:r>
        <w:separator/>
      </w:r>
    </w:p>
  </w:endnote>
  <w:endnote w:type="continuationSeparator" w:id="0">
    <w:p w14:paraId="686C47E6" w14:textId="77777777" w:rsidR="00035D1E" w:rsidRDefault="000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BDF2" w14:textId="77777777" w:rsidR="00553E07" w:rsidRDefault="008416D5">
    <w:pPr>
      <w:pStyle w:val="Footer"/>
      <w:jc w:val="right"/>
      <w:rPr>
        <w:sz w:val="18"/>
      </w:rPr>
    </w:pPr>
    <w:r>
      <w:rPr>
        <w:rStyle w:val="PageNumber"/>
        <w:sz w:val="18"/>
      </w:rPr>
      <w:fldChar w:fldCharType="begin"/>
    </w:r>
    <w:r w:rsidR="00553E07">
      <w:rPr>
        <w:rStyle w:val="PageNumber"/>
        <w:sz w:val="18"/>
      </w:rPr>
      <w:instrText xml:space="preserve"> PAGE </w:instrText>
    </w:r>
    <w:r>
      <w:rPr>
        <w:rStyle w:val="PageNumber"/>
        <w:sz w:val="18"/>
      </w:rPr>
      <w:fldChar w:fldCharType="separate"/>
    </w:r>
    <w:r w:rsidR="0005457C">
      <w:rPr>
        <w:rStyle w:val="PageNumber"/>
        <w:noProof/>
        <w:sz w:val="18"/>
      </w:rPr>
      <w:t>1</w:t>
    </w:r>
    <w:r>
      <w:rPr>
        <w:rStyle w:val="PageNumber"/>
        <w:sz w:val="18"/>
      </w:rPr>
      <w:fldChar w:fldCharType="end"/>
    </w:r>
    <w:r w:rsidR="00553E07">
      <w:rPr>
        <w:rStyle w:val="PageNumber"/>
        <w:sz w:val="18"/>
      </w:rPr>
      <w:t xml:space="preserve"> of </w:t>
    </w:r>
    <w:r>
      <w:rPr>
        <w:rStyle w:val="PageNumber"/>
        <w:sz w:val="18"/>
      </w:rPr>
      <w:fldChar w:fldCharType="begin"/>
    </w:r>
    <w:r w:rsidR="00553E07">
      <w:rPr>
        <w:rStyle w:val="PageNumber"/>
        <w:sz w:val="18"/>
      </w:rPr>
      <w:instrText xml:space="preserve"> NUMPAGES </w:instrText>
    </w:r>
    <w:r>
      <w:rPr>
        <w:rStyle w:val="PageNumber"/>
        <w:sz w:val="18"/>
      </w:rPr>
      <w:fldChar w:fldCharType="separate"/>
    </w:r>
    <w:r w:rsidR="0005457C">
      <w:rPr>
        <w:rStyle w:val="PageNumber"/>
        <w:noProof/>
        <w:sz w:val="18"/>
      </w:rPr>
      <w:t>6</w:t>
    </w:r>
    <w:r>
      <w:rPr>
        <w:rStyle w:val="PageNumber"/>
        <w:sz w:val="18"/>
      </w:rPr>
      <w:fldChar w:fldCharType="end"/>
    </w:r>
  </w:p>
  <w:p w14:paraId="55D6BC7D" w14:textId="77777777" w:rsidR="00553E07" w:rsidRDefault="00113F67">
    <w:pPr>
      <w:pStyle w:val="Footer"/>
      <w:rPr>
        <w:sz w:val="18"/>
      </w:rPr>
    </w:pPr>
    <w:r>
      <w:rPr>
        <w:sz w:val="18"/>
      </w:rPr>
      <w:t>Robert Smith</w:t>
    </w:r>
  </w:p>
  <w:p w14:paraId="2A09DD81" w14:textId="77777777" w:rsidR="00553E07" w:rsidRDefault="00553E07">
    <w:pPr>
      <w:pStyle w:val="Footer"/>
      <w:rPr>
        <w:sz w:val="18"/>
      </w:rPr>
    </w:pPr>
    <w:r>
      <w:rPr>
        <w:sz w:val="18"/>
      </w:rPr>
      <w:t>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CD98C" w14:textId="77777777" w:rsidR="00035D1E" w:rsidRDefault="00035D1E">
      <w:r>
        <w:separator/>
      </w:r>
    </w:p>
  </w:footnote>
  <w:footnote w:type="continuationSeparator" w:id="0">
    <w:p w14:paraId="4AFCF532" w14:textId="77777777" w:rsidR="00035D1E" w:rsidRDefault="0003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D9F3" w14:textId="212E7D57" w:rsidR="00553E07" w:rsidRPr="006C143B" w:rsidRDefault="00553E07" w:rsidP="006C143B">
    <w:pPr>
      <w:pStyle w:val="Header"/>
      <w:tabs>
        <w:tab w:val="clear" w:pos="8306"/>
        <w:tab w:val="right" w:pos="7740"/>
      </w:tabs>
      <w:rPr>
        <w:b/>
        <w:bCs/>
        <w:sz w:val="22"/>
      </w:rPr>
    </w:pPr>
    <w:r w:rsidRPr="006C143B">
      <w:rPr>
        <w:b/>
        <w:bCs/>
        <w:sz w:val="22"/>
      </w:rPr>
      <w:t>WIGAN AND LEIGH COLLEGE: GOVERNING BOARD</w:t>
    </w:r>
    <w:r w:rsidRPr="006C143B">
      <w:rPr>
        <w:b/>
        <w:bCs/>
        <w:sz w:val="22"/>
      </w:rPr>
      <w:tab/>
    </w:r>
    <w:r w:rsidRPr="006C143B">
      <w:rPr>
        <w:b/>
        <w:bCs/>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F03"/>
    <w:multiLevelType w:val="hybridMultilevel"/>
    <w:tmpl w:val="862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D20DC"/>
    <w:multiLevelType w:val="hybridMultilevel"/>
    <w:tmpl w:val="C29A4A20"/>
    <w:lvl w:ilvl="0" w:tplc="71B6B3E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C8437E"/>
    <w:multiLevelType w:val="hybridMultilevel"/>
    <w:tmpl w:val="FE32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B23B5"/>
    <w:multiLevelType w:val="hybridMultilevel"/>
    <w:tmpl w:val="5F189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0205E7"/>
    <w:multiLevelType w:val="hybridMultilevel"/>
    <w:tmpl w:val="535E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02AF7"/>
    <w:multiLevelType w:val="hybridMultilevel"/>
    <w:tmpl w:val="BF5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055A0"/>
    <w:multiLevelType w:val="hybridMultilevel"/>
    <w:tmpl w:val="FCEA5F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586A2F"/>
    <w:multiLevelType w:val="hybridMultilevel"/>
    <w:tmpl w:val="8F007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536332"/>
    <w:multiLevelType w:val="hybridMultilevel"/>
    <w:tmpl w:val="7F88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65D84"/>
    <w:multiLevelType w:val="hybridMultilevel"/>
    <w:tmpl w:val="B8564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EB07F64"/>
    <w:multiLevelType w:val="hybridMultilevel"/>
    <w:tmpl w:val="F3408134"/>
    <w:lvl w:ilvl="0" w:tplc="5406DE6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8D16A0"/>
    <w:multiLevelType w:val="hybridMultilevel"/>
    <w:tmpl w:val="390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115F4"/>
    <w:multiLevelType w:val="hybridMultilevel"/>
    <w:tmpl w:val="BED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9437E7"/>
    <w:multiLevelType w:val="hybridMultilevel"/>
    <w:tmpl w:val="1514FE76"/>
    <w:lvl w:ilvl="0" w:tplc="A5F4EA9E">
      <w:start w:val="1"/>
      <w:numFmt w:val="decimal"/>
      <w:lvlText w:val="%1."/>
      <w:lvlJc w:val="left"/>
      <w:pPr>
        <w:tabs>
          <w:tab w:val="num" w:pos="360"/>
        </w:tabs>
        <w:ind w:left="360" w:hanging="360"/>
      </w:pPr>
      <w:rPr>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0983D3F"/>
    <w:multiLevelType w:val="hybridMultilevel"/>
    <w:tmpl w:val="C03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1"/>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14"/>
  </w:num>
  <w:num w:numId="12">
    <w:abstractNumId w:val="9"/>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4"/>
    <w:rsid w:val="00002696"/>
    <w:rsid w:val="00002D01"/>
    <w:rsid w:val="00003DF5"/>
    <w:rsid w:val="00004225"/>
    <w:rsid w:val="00007609"/>
    <w:rsid w:val="00012B5A"/>
    <w:rsid w:val="00013BE0"/>
    <w:rsid w:val="00021E05"/>
    <w:rsid w:val="000227C7"/>
    <w:rsid w:val="00022BBF"/>
    <w:rsid w:val="000262D7"/>
    <w:rsid w:val="00030D40"/>
    <w:rsid w:val="000354BE"/>
    <w:rsid w:val="00035D1E"/>
    <w:rsid w:val="00042786"/>
    <w:rsid w:val="000444FE"/>
    <w:rsid w:val="00046FDE"/>
    <w:rsid w:val="0005457C"/>
    <w:rsid w:val="00057525"/>
    <w:rsid w:val="00061A7D"/>
    <w:rsid w:val="00063EFF"/>
    <w:rsid w:val="00071798"/>
    <w:rsid w:val="00072906"/>
    <w:rsid w:val="000756B6"/>
    <w:rsid w:val="00083292"/>
    <w:rsid w:val="00091D9B"/>
    <w:rsid w:val="000928AB"/>
    <w:rsid w:val="000945D1"/>
    <w:rsid w:val="00094ED1"/>
    <w:rsid w:val="000959E9"/>
    <w:rsid w:val="000972A2"/>
    <w:rsid w:val="000973E2"/>
    <w:rsid w:val="000B1A1C"/>
    <w:rsid w:val="000B5857"/>
    <w:rsid w:val="000B787D"/>
    <w:rsid w:val="000C0AC1"/>
    <w:rsid w:val="000C2831"/>
    <w:rsid w:val="000C3EE7"/>
    <w:rsid w:val="000C4D10"/>
    <w:rsid w:val="000C58E0"/>
    <w:rsid w:val="000D4A5E"/>
    <w:rsid w:val="000D79E5"/>
    <w:rsid w:val="000F0752"/>
    <w:rsid w:val="001009E9"/>
    <w:rsid w:val="0010350E"/>
    <w:rsid w:val="0010497F"/>
    <w:rsid w:val="001105AC"/>
    <w:rsid w:val="00113F67"/>
    <w:rsid w:val="00127BC7"/>
    <w:rsid w:val="0013107E"/>
    <w:rsid w:val="00132FB0"/>
    <w:rsid w:val="00140290"/>
    <w:rsid w:val="00143ED9"/>
    <w:rsid w:val="001513AC"/>
    <w:rsid w:val="001516AA"/>
    <w:rsid w:val="00154949"/>
    <w:rsid w:val="00154AB3"/>
    <w:rsid w:val="00156200"/>
    <w:rsid w:val="00163A2C"/>
    <w:rsid w:val="0016629D"/>
    <w:rsid w:val="001760D8"/>
    <w:rsid w:val="00177687"/>
    <w:rsid w:val="001904BA"/>
    <w:rsid w:val="00193D40"/>
    <w:rsid w:val="00194F00"/>
    <w:rsid w:val="001955D3"/>
    <w:rsid w:val="001966ED"/>
    <w:rsid w:val="001A4F74"/>
    <w:rsid w:val="001A6D07"/>
    <w:rsid w:val="001A7AA3"/>
    <w:rsid w:val="001B18B5"/>
    <w:rsid w:val="001B3C59"/>
    <w:rsid w:val="001B4B7C"/>
    <w:rsid w:val="001C7D04"/>
    <w:rsid w:val="001D0396"/>
    <w:rsid w:val="001D092C"/>
    <w:rsid w:val="001D1F03"/>
    <w:rsid w:val="001D282C"/>
    <w:rsid w:val="001D2AB1"/>
    <w:rsid w:val="001D3D41"/>
    <w:rsid w:val="001D5286"/>
    <w:rsid w:val="001D5B31"/>
    <w:rsid w:val="001D6C77"/>
    <w:rsid w:val="001E2456"/>
    <w:rsid w:val="001F68B5"/>
    <w:rsid w:val="0020004C"/>
    <w:rsid w:val="00204E53"/>
    <w:rsid w:val="002109D9"/>
    <w:rsid w:val="00213F00"/>
    <w:rsid w:val="00215214"/>
    <w:rsid w:val="00216C81"/>
    <w:rsid w:val="002215B8"/>
    <w:rsid w:val="00226015"/>
    <w:rsid w:val="0022667C"/>
    <w:rsid w:val="00233D0D"/>
    <w:rsid w:val="00241040"/>
    <w:rsid w:val="00242036"/>
    <w:rsid w:val="00244175"/>
    <w:rsid w:val="00251582"/>
    <w:rsid w:val="00251727"/>
    <w:rsid w:val="00256705"/>
    <w:rsid w:val="002568CA"/>
    <w:rsid w:val="00260D16"/>
    <w:rsid w:val="00262B6B"/>
    <w:rsid w:val="00271F37"/>
    <w:rsid w:val="002730C5"/>
    <w:rsid w:val="00275F91"/>
    <w:rsid w:val="00282352"/>
    <w:rsid w:val="00287028"/>
    <w:rsid w:val="0029665F"/>
    <w:rsid w:val="00296B83"/>
    <w:rsid w:val="002A0293"/>
    <w:rsid w:val="002A04D3"/>
    <w:rsid w:val="002A38FB"/>
    <w:rsid w:val="002B364C"/>
    <w:rsid w:val="002B5327"/>
    <w:rsid w:val="002C0FE9"/>
    <w:rsid w:val="002C366C"/>
    <w:rsid w:val="002C5F3B"/>
    <w:rsid w:val="002C6138"/>
    <w:rsid w:val="002C6A8D"/>
    <w:rsid w:val="002C6B22"/>
    <w:rsid w:val="002D22D7"/>
    <w:rsid w:val="002D6FCB"/>
    <w:rsid w:val="002E54AA"/>
    <w:rsid w:val="002E66AA"/>
    <w:rsid w:val="002E66DA"/>
    <w:rsid w:val="002E74A4"/>
    <w:rsid w:val="002F0C2A"/>
    <w:rsid w:val="002F3515"/>
    <w:rsid w:val="002F3E04"/>
    <w:rsid w:val="002F5A87"/>
    <w:rsid w:val="00301C26"/>
    <w:rsid w:val="00302EBC"/>
    <w:rsid w:val="00312201"/>
    <w:rsid w:val="00314085"/>
    <w:rsid w:val="003157B4"/>
    <w:rsid w:val="00315D23"/>
    <w:rsid w:val="0032019A"/>
    <w:rsid w:val="00321CF0"/>
    <w:rsid w:val="003238D1"/>
    <w:rsid w:val="003265E5"/>
    <w:rsid w:val="00335247"/>
    <w:rsid w:val="00335C5C"/>
    <w:rsid w:val="00337548"/>
    <w:rsid w:val="003478AC"/>
    <w:rsid w:val="00354EAA"/>
    <w:rsid w:val="003573CE"/>
    <w:rsid w:val="00357888"/>
    <w:rsid w:val="00360395"/>
    <w:rsid w:val="003634C7"/>
    <w:rsid w:val="003637ED"/>
    <w:rsid w:val="00376ACC"/>
    <w:rsid w:val="00382D6B"/>
    <w:rsid w:val="0038372F"/>
    <w:rsid w:val="00392EFD"/>
    <w:rsid w:val="00394EB1"/>
    <w:rsid w:val="003A4BBA"/>
    <w:rsid w:val="003A69AA"/>
    <w:rsid w:val="003B11F0"/>
    <w:rsid w:val="003B3BBA"/>
    <w:rsid w:val="003B3D2F"/>
    <w:rsid w:val="003B4641"/>
    <w:rsid w:val="003C0E1F"/>
    <w:rsid w:val="003C162A"/>
    <w:rsid w:val="003C37EA"/>
    <w:rsid w:val="003C503F"/>
    <w:rsid w:val="003C7607"/>
    <w:rsid w:val="003D13F9"/>
    <w:rsid w:val="003D178B"/>
    <w:rsid w:val="003D1D49"/>
    <w:rsid w:val="003E3A36"/>
    <w:rsid w:val="003E5F5F"/>
    <w:rsid w:val="00400BB9"/>
    <w:rsid w:val="004048D4"/>
    <w:rsid w:val="00424523"/>
    <w:rsid w:val="004315D1"/>
    <w:rsid w:val="00435B1A"/>
    <w:rsid w:val="0044797F"/>
    <w:rsid w:val="00454164"/>
    <w:rsid w:val="004568F1"/>
    <w:rsid w:val="00456A46"/>
    <w:rsid w:val="00461533"/>
    <w:rsid w:val="00470EA9"/>
    <w:rsid w:val="00472358"/>
    <w:rsid w:val="00480C01"/>
    <w:rsid w:val="00482F93"/>
    <w:rsid w:val="004907C4"/>
    <w:rsid w:val="0049101D"/>
    <w:rsid w:val="00492886"/>
    <w:rsid w:val="00494087"/>
    <w:rsid w:val="00494F9C"/>
    <w:rsid w:val="004A4C60"/>
    <w:rsid w:val="004A606A"/>
    <w:rsid w:val="004A794C"/>
    <w:rsid w:val="004A7C6C"/>
    <w:rsid w:val="004B0E1C"/>
    <w:rsid w:val="004B1A5A"/>
    <w:rsid w:val="004B2292"/>
    <w:rsid w:val="004B240E"/>
    <w:rsid w:val="004B462D"/>
    <w:rsid w:val="004B49D9"/>
    <w:rsid w:val="004B5B93"/>
    <w:rsid w:val="004C0135"/>
    <w:rsid w:val="004C3283"/>
    <w:rsid w:val="004C530D"/>
    <w:rsid w:val="004C7C40"/>
    <w:rsid w:val="004D0FDE"/>
    <w:rsid w:val="004D1AC9"/>
    <w:rsid w:val="004D1E23"/>
    <w:rsid w:val="004D3175"/>
    <w:rsid w:val="004D5586"/>
    <w:rsid w:val="004D60BA"/>
    <w:rsid w:val="004F3624"/>
    <w:rsid w:val="004F68B8"/>
    <w:rsid w:val="0050034C"/>
    <w:rsid w:val="00505E8F"/>
    <w:rsid w:val="00507AAC"/>
    <w:rsid w:val="00510353"/>
    <w:rsid w:val="0052075E"/>
    <w:rsid w:val="00522D66"/>
    <w:rsid w:val="00524C4E"/>
    <w:rsid w:val="00532106"/>
    <w:rsid w:val="005331A3"/>
    <w:rsid w:val="0053338B"/>
    <w:rsid w:val="00533F86"/>
    <w:rsid w:val="00551897"/>
    <w:rsid w:val="00553E07"/>
    <w:rsid w:val="005675CB"/>
    <w:rsid w:val="005675D4"/>
    <w:rsid w:val="00567608"/>
    <w:rsid w:val="00570540"/>
    <w:rsid w:val="005722CF"/>
    <w:rsid w:val="00572975"/>
    <w:rsid w:val="00574C10"/>
    <w:rsid w:val="00581F4B"/>
    <w:rsid w:val="00582C1E"/>
    <w:rsid w:val="005834EA"/>
    <w:rsid w:val="0059174A"/>
    <w:rsid w:val="005944AA"/>
    <w:rsid w:val="005A23EC"/>
    <w:rsid w:val="005A32FF"/>
    <w:rsid w:val="005A3BD7"/>
    <w:rsid w:val="005A43D5"/>
    <w:rsid w:val="005B6606"/>
    <w:rsid w:val="005C3AB0"/>
    <w:rsid w:val="005C52BB"/>
    <w:rsid w:val="005C5F64"/>
    <w:rsid w:val="005D182A"/>
    <w:rsid w:val="005D2FB7"/>
    <w:rsid w:val="005D599F"/>
    <w:rsid w:val="005D76A1"/>
    <w:rsid w:val="005D7777"/>
    <w:rsid w:val="005E023A"/>
    <w:rsid w:val="005E152D"/>
    <w:rsid w:val="005E2E44"/>
    <w:rsid w:val="005E6AD8"/>
    <w:rsid w:val="005E7BAC"/>
    <w:rsid w:val="005E7F2D"/>
    <w:rsid w:val="005F4D89"/>
    <w:rsid w:val="005F5B93"/>
    <w:rsid w:val="006022F8"/>
    <w:rsid w:val="00603797"/>
    <w:rsid w:val="0060495B"/>
    <w:rsid w:val="006065B0"/>
    <w:rsid w:val="00610100"/>
    <w:rsid w:val="00610B4B"/>
    <w:rsid w:val="0061187E"/>
    <w:rsid w:val="00613DF4"/>
    <w:rsid w:val="00614107"/>
    <w:rsid w:val="00630ABA"/>
    <w:rsid w:val="006402F8"/>
    <w:rsid w:val="00643005"/>
    <w:rsid w:val="00643915"/>
    <w:rsid w:val="00644F63"/>
    <w:rsid w:val="0065048F"/>
    <w:rsid w:val="00652F61"/>
    <w:rsid w:val="006620B4"/>
    <w:rsid w:val="00662AE3"/>
    <w:rsid w:val="00664E1A"/>
    <w:rsid w:val="00665C0B"/>
    <w:rsid w:val="00666C78"/>
    <w:rsid w:val="006727E6"/>
    <w:rsid w:val="00672BF5"/>
    <w:rsid w:val="00673D94"/>
    <w:rsid w:val="00677960"/>
    <w:rsid w:val="00677A07"/>
    <w:rsid w:val="006807DF"/>
    <w:rsid w:val="00680E94"/>
    <w:rsid w:val="00681A2B"/>
    <w:rsid w:val="0068663A"/>
    <w:rsid w:val="00687501"/>
    <w:rsid w:val="00696323"/>
    <w:rsid w:val="00696487"/>
    <w:rsid w:val="006A574E"/>
    <w:rsid w:val="006A77EC"/>
    <w:rsid w:val="006B2807"/>
    <w:rsid w:val="006B42FC"/>
    <w:rsid w:val="006B4EF6"/>
    <w:rsid w:val="006B5269"/>
    <w:rsid w:val="006B5C23"/>
    <w:rsid w:val="006B6871"/>
    <w:rsid w:val="006C0917"/>
    <w:rsid w:val="006C0E7E"/>
    <w:rsid w:val="006C143B"/>
    <w:rsid w:val="006C2493"/>
    <w:rsid w:val="006C336C"/>
    <w:rsid w:val="006C4375"/>
    <w:rsid w:val="006D1B87"/>
    <w:rsid w:val="006D66BB"/>
    <w:rsid w:val="006E14FE"/>
    <w:rsid w:val="006E355D"/>
    <w:rsid w:val="006E40E1"/>
    <w:rsid w:val="006F035A"/>
    <w:rsid w:val="006F1148"/>
    <w:rsid w:val="006F1D5F"/>
    <w:rsid w:val="006F35F8"/>
    <w:rsid w:val="006F40BC"/>
    <w:rsid w:val="006F632F"/>
    <w:rsid w:val="007022FD"/>
    <w:rsid w:val="00703FDE"/>
    <w:rsid w:val="00716115"/>
    <w:rsid w:val="007229BE"/>
    <w:rsid w:val="00722E1C"/>
    <w:rsid w:val="00722F70"/>
    <w:rsid w:val="007266AC"/>
    <w:rsid w:val="00730DDE"/>
    <w:rsid w:val="00732663"/>
    <w:rsid w:val="007404FC"/>
    <w:rsid w:val="00740CEA"/>
    <w:rsid w:val="00745820"/>
    <w:rsid w:val="00750A70"/>
    <w:rsid w:val="00751BE3"/>
    <w:rsid w:val="00766761"/>
    <w:rsid w:val="0077092D"/>
    <w:rsid w:val="00775488"/>
    <w:rsid w:val="007756AC"/>
    <w:rsid w:val="007814A8"/>
    <w:rsid w:val="00782FE7"/>
    <w:rsid w:val="0079406A"/>
    <w:rsid w:val="00795BE8"/>
    <w:rsid w:val="0079646E"/>
    <w:rsid w:val="007A66F8"/>
    <w:rsid w:val="007A71BA"/>
    <w:rsid w:val="007B1C15"/>
    <w:rsid w:val="007B33DC"/>
    <w:rsid w:val="007B43CB"/>
    <w:rsid w:val="007B5869"/>
    <w:rsid w:val="007C0780"/>
    <w:rsid w:val="007C5E08"/>
    <w:rsid w:val="007D0588"/>
    <w:rsid w:val="007D08E2"/>
    <w:rsid w:val="007D3E14"/>
    <w:rsid w:val="007E1589"/>
    <w:rsid w:val="007E54B9"/>
    <w:rsid w:val="007F4801"/>
    <w:rsid w:val="0080126B"/>
    <w:rsid w:val="008018BF"/>
    <w:rsid w:val="00807190"/>
    <w:rsid w:val="00815297"/>
    <w:rsid w:val="00815E89"/>
    <w:rsid w:val="0081662C"/>
    <w:rsid w:val="00823AEB"/>
    <w:rsid w:val="00827672"/>
    <w:rsid w:val="0083277C"/>
    <w:rsid w:val="008332D5"/>
    <w:rsid w:val="00834D9B"/>
    <w:rsid w:val="00834E5F"/>
    <w:rsid w:val="0083572A"/>
    <w:rsid w:val="00836732"/>
    <w:rsid w:val="00836898"/>
    <w:rsid w:val="00837252"/>
    <w:rsid w:val="008416D5"/>
    <w:rsid w:val="008425AF"/>
    <w:rsid w:val="00844210"/>
    <w:rsid w:val="0084435A"/>
    <w:rsid w:val="00852840"/>
    <w:rsid w:val="008532E1"/>
    <w:rsid w:val="00856156"/>
    <w:rsid w:val="00857BED"/>
    <w:rsid w:val="00861B0E"/>
    <w:rsid w:val="00865CAB"/>
    <w:rsid w:val="00870B48"/>
    <w:rsid w:val="00874467"/>
    <w:rsid w:val="00874F95"/>
    <w:rsid w:val="0087646B"/>
    <w:rsid w:val="00876FBA"/>
    <w:rsid w:val="00882A62"/>
    <w:rsid w:val="0089159D"/>
    <w:rsid w:val="00893358"/>
    <w:rsid w:val="008A3DA3"/>
    <w:rsid w:val="008A6E2B"/>
    <w:rsid w:val="008B0D8D"/>
    <w:rsid w:val="008B2CF6"/>
    <w:rsid w:val="008B439C"/>
    <w:rsid w:val="008C13E4"/>
    <w:rsid w:val="008C6E6F"/>
    <w:rsid w:val="008D19CE"/>
    <w:rsid w:val="008D2C3C"/>
    <w:rsid w:val="008D3A26"/>
    <w:rsid w:val="008D437C"/>
    <w:rsid w:val="008D562B"/>
    <w:rsid w:val="008D73C5"/>
    <w:rsid w:val="008E0189"/>
    <w:rsid w:val="008E1F14"/>
    <w:rsid w:val="008E4A32"/>
    <w:rsid w:val="008E5FBE"/>
    <w:rsid w:val="008F000D"/>
    <w:rsid w:val="008F3842"/>
    <w:rsid w:val="0091416E"/>
    <w:rsid w:val="00915890"/>
    <w:rsid w:val="00915F33"/>
    <w:rsid w:val="00920462"/>
    <w:rsid w:val="009237B3"/>
    <w:rsid w:val="00923913"/>
    <w:rsid w:val="00926541"/>
    <w:rsid w:val="009274EA"/>
    <w:rsid w:val="009275D9"/>
    <w:rsid w:val="0093404E"/>
    <w:rsid w:val="0093520D"/>
    <w:rsid w:val="0093593F"/>
    <w:rsid w:val="00935EC7"/>
    <w:rsid w:val="00944FB4"/>
    <w:rsid w:val="00946D2D"/>
    <w:rsid w:val="009500C1"/>
    <w:rsid w:val="00950158"/>
    <w:rsid w:val="00952814"/>
    <w:rsid w:val="009534F8"/>
    <w:rsid w:val="00953BC3"/>
    <w:rsid w:val="0095590C"/>
    <w:rsid w:val="009572C4"/>
    <w:rsid w:val="00963CE9"/>
    <w:rsid w:val="00963EB0"/>
    <w:rsid w:val="00970663"/>
    <w:rsid w:val="00970F2A"/>
    <w:rsid w:val="00971E59"/>
    <w:rsid w:val="0098578A"/>
    <w:rsid w:val="00990E08"/>
    <w:rsid w:val="0099678C"/>
    <w:rsid w:val="00996A86"/>
    <w:rsid w:val="009A1078"/>
    <w:rsid w:val="009B414C"/>
    <w:rsid w:val="009B5648"/>
    <w:rsid w:val="009C590F"/>
    <w:rsid w:val="009D3454"/>
    <w:rsid w:val="009E1591"/>
    <w:rsid w:val="009E20B1"/>
    <w:rsid w:val="009E2A82"/>
    <w:rsid w:val="009E3559"/>
    <w:rsid w:val="009E5588"/>
    <w:rsid w:val="009E6EC3"/>
    <w:rsid w:val="009E7BD1"/>
    <w:rsid w:val="009F02EF"/>
    <w:rsid w:val="009F7B34"/>
    <w:rsid w:val="00A00FC0"/>
    <w:rsid w:val="00A02CC3"/>
    <w:rsid w:val="00A0331B"/>
    <w:rsid w:val="00A07323"/>
    <w:rsid w:val="00A07680"/>
    <w:rsid w:val="00A07811"/>
    <w:rsid w:val="00A07FE4"/>
    <w:rsid w:val="00A14CC1"/>
    <w:rsid w:val="00A14F69"/>
    <w:rsid w:val="00A15DBC"/>
    <w:rsid w:val="00A1689E"/>
    <w:rsid w:val="00A264D8"/>
    <w:rsid w:val="00A31BEF"/>
    <w:rsid w:val="00A33449"/>
    <w:rsid w:val="00A4100F"/>
    <w:rsid w:val="00A44073"/>
    <w:rsid w:val="00A5407C"/>
    <w:rsid w:val="00A54CB0"/>
    <w:rsid w:val="00A56B3F"/>
    <w:rsid w:val="00A574EB"/>
    <w:rsid w:val="00A60820"/>
    <w:rsid w:val="00A61C0D"/>
    <w:rsid w:val="00A63463"/>
    <w:rsid w:val="00A644F0"/>
    <w:rsid w:val="00A645CB"/>
    <w:rsid w:val="00A675C8"/>
    <w:rsid w:val="00A730ED"/>
    <w:rsid w:val="00A73371"/>
    <w:rsid w:val="00A739D0"/>
    <w:rsid w:val="00A75524"/>
    <w:rsid w:val="00A85B94"/>
    <w:rsid w:val="00A86A17"/>
    <w:rsid w:val="00A92A8C"/>
    <w:rsid w:val="00A94B24"/>
    <w:rsid w:val="00A96668"/>
    <w:rsid w:val="00A96BFB"/>
    <w:rsid w:val="00AA4B68"/>
    <w:rsid w:val="00AA632F"/>
    <w:rsid w:val="00AA66CD"/>
    <w:rsid w:val="00AB5162"/>
    <w:rsid w:val="00AC41CB"/>
    <w:rsid w:val="00AC4EC1"/>
    <w:rsid w:val="00AC73D0"/>
    <w:rsid w:val="00AD3532"/>
    <w:rsid w:val="00AE2409"/>
    <w:rsid w:val="00AE489C"/>
    <w:rsid w:val="00AF1501"/>
    <w:rsid w:val="00AF1617"/>
    <w:rsid w:val="00AF771A"/>
    <w:rsid w:val="00B100A9"/>
    <w:rsid w:val="00B217F1"/>
    <w:rsid w:val="00B24AE2"/>
    <w:rsid w:val="00B27C7D"/>
    <w:rsid w:val="00B30C8E"/>
    <w:rsid w:val="00B34E31"/>
    <w:rsid w:val="00B36039"/>
    <w:rsid w:val="00B42CAC"/>
    <w:rsid w:val="00B447FE"/>
    <w:rsid w:val="00B44DA0"/>
    <w:rsid w:val="00B45ACD"/>
    <w:rsid w:val="00B53B35"/>
    <w:rsid w:val="00B54CE3"/>
    <w:rsid w:val="00B55F89"/>
    <w:rsid w:val="00B65AD2"/>
    <w:rsid w:val="00B66D04"/>
    <w:rsid w:val="00B73600"/>
    <w:rsid w:val="00B84890"/>
    <w:rsid w:val="00B84EE8"/>
    <w:rsid w:val="00B86F92"/>
    <w:rsid w:val="00B93C75"/>
    <w:rsid w:val="00B94C40"/>
    <w:rsid w:val="00B973F2"/>
    <w:rsid w:val="00BA0AB8"/>
    <w:rsid w:val="00BA7DF5"/>
    <w:rsid w:val="00BB5FBD"/>
    <w:rsid w:val="00BC26F7"/>
    <w:rsid w:val="00BC3723"/>
    <w:rsid w:val="00BC3EFF"/>
    <w:rsid w:val="00BC794E"/>
    <w:rsid w:val="00BE45DD"/>
    <w:rsid w:val="00BE4F5C"/>
    <w:rsid w:val="00BE64AE"/>
    <w:rsid w:val="00BE7ACD"/>
    <w:rsid w:val="00BE7B4F"/>
    <w:rsid w:val="00BF1A32"/>
    <w:rsid w:val="00BF2F11"/>
    <w:rsid w:val="00C01CFF"/>
    <w:rsid w:val="00C02397"/>
    <w:rsid w:val="00C0423C"/>
    <w:rsid w:val="00C04F65"/>
    <w:rsid w:val="00C05CD2"/>
    <w:rsid w:val="00C071B8"/>
    <w:rsid w:val="00C148B4"/>
    <w:rsid w:val="00C17796"/>
    <w:rsid w:val="00C177FA"/>
    <w:rsid w:val="00C20147"/>
    <w:rsid w:val="00C2325A"/>
    <w:rsid w:val="00C32BB7"/>
    <w:rsid w:val="00C337F5"/>
    <w:rsid w:val="00C35772"/>
    <w:rsid w:val="00C417FB"/>
    <w:rsid w:val="00C51309"/>
    <w:rsid w:val="00C52246"/>
    <w:rsid w:val="00C53F10"/>
    <w:rsid w:val="00C55DFA"/>
    <w:rsid w:val="00C569B8"/>
    <w:rsid w:val="00C67110"/>
    <w:rsid w:val="00C71BC4"/>
    <w:rsid w:val="00C74DE5"/>
    <w:rsid w:val="00C82DBD"/>
    <w:rsid w:val="00C83226"/>
    <w:rsid w:val="00C859A8"/>
    <w:rsid w:val="00C968BC"/>
    <w:rsid w:val="00C97DEF"/>
    <w:rsid w:val="00CA18E9"/>
    <w:rsid w:val="00CA1EE0"/>
    <w:rsid w:val="00CA4A37"/>
    <w:rsid w:val="00CB7C43"/>
    <w:rsid w:val="00CC4891"/>
    <w:rsid w:val="00CC625B"/>
    <w:rsid w:val="00CD12FD"/>
    <w:rsid w:val="00CD48D4"/>
    <w:rsid w:val="00CD6C56"/>
    <w:rsid w:val="00CD7E1D"/>
    <w:rsid w:val="00CE1C7A"/>
    <w:rsid w:val="00CE4D03"/>
    <w:rsid w:val="00CF1718"/>
    <w:rsid w:val="00CF1762"/>
    <w:rsid w:val="00CF3A51"/>
    <w:rsid w:val="00D042B2"/>
    <w:rsid w:val="00D10961"/>
    <w:rsid w:val="00D12603"/>
    <w:rsid w:val="00D13617"/>
    <w:rsid w:val="00D162BF"/>
    <w:rsid w:val="00D222E9"/>
    <w:rsid w:val="00D230B9"/>
    <w:rsid w:val="00D23312"/>
    <w:rsid w:val="00D26075"/>
    <w:rsid w:val="00D30B2F"/>
    <w:rsid w:val="00D3153A"/>
    <w:rsid w:val="00D32E46"/>
    <w:rsid w:val="00D36676"/>
    <w:rsid w:val="00D37A77"/>
    <w:rsid w:val="00D44B30"/>
    <w:rsid w:val="00D45971"/>
    <w:rsid w:val="00D5371C"/>
    <w:rsid w:val="00D57590"/>
    <w:rsid w:val="00D57E09"/>
    <w:rsid w:val="00D64A8B"/>
    <w:rsid w:val="00D72B42"/>
    <w:rsid w:val="00D74E10"/>
    <w:rsid w:val="00D7583D"/>
    <w:rsid w:val="00D8110B"/>
    <w:rsid w:val="00D86405"/>
    <w:rsid w:val="00D8739D"/>
    <w:rsid w:val="00D87716"/>
    <w:rsid w:val="00D9230F"/>
    <w:rsid w:val="00D946E0"/>
    <w:rsid w:val="00D952C3"/>
    <w:rsid w:val="00DA1032"/>
    <w:rsid w:val="00DB6AEC"/>
    <w:rsid w:val="00DC2CBF"/>
    <w:rsid w:val="00DC372A"/>
    <w:rsid w:val="00DC51F9"/>
    <w:rsid w:val="00DC7563"/>
    <w:rsid w:val="00DC7C08"/>
    <w:rsid w:val="00DD0102"/>
    <w:rsid w:val="00DD579D"/>
    <w:rsid w:val="00DD61E3"/>
    <w:rsid w:val="00DE1934"/>
    <w:rsid w:val="00DE1CF8"/>
    <w:rsid w:val="00DE4DDC"/>
    <w:rsid w:val="00DE68A9"/>
    <w:rsid w:val="00DE6AE8"/>
    <w:rsid w:val="00DE7E3D"/>
    <w:rsid w:val="00DF4C72"/>
    <w:rsid w:val="00E00DEE"/>
    <w:rsid w:val="00E0722E"/>
    <w:rsid w:val="00E1276A"/>
    <w:rsid w:val="00E14439"/>
    <w:rsid w:val="00E14893"/>
    <w:rsid w:val="00E1666C"/>
    <w:rsid w:val="00E20430"/>
    <w:rsid w:val="00E23258"/>
    <w:rsid w:val="00E251BA"/>
    <w:rsid w:val="00E2567D"/>
    <w:rsid w:val="00E26B38"/>
    <w:rsid w:val="00E300C4"/>
    <w:rsid w:val="00E30611"/>
    <w:rsid w:val="00E321F5"/>
    <w:rsid w:val="00E340E7"/>
    <w:rsid w:val="00E34F08"/>
    <w:rsid w:val="00E357C0"/>
    <w:rsid w:val="00E43AFA"/>
    <w:rsid w:val="00E445F5"/>
    <w:rsid w:val="00E45546"/>
    <w:rsid w:val="00E46BAA"/>
    <w:rsid w:val="00E46ED4"/>
    <w:rsid w:val="00E5252F"/>
    <w:rsid w:val="00E5508F"/>
    <w:rsid w:val="00E60E34"/>
    <w:rsid w:val="00E624B0"/>
    <w:rsid w:val="00E66FC4"/>
    <w:rsid w:val="00E71A0E"/>
    <w:rsid w:val="00E86447"/>
    <w:rsid w:val="00E9150C"/>
    <w:rsid w:val="00E92A32"/>
    <w:rsid w:val="00E95F26"/>
    <w:rsid w:val="00E96F6B"/>
    <w:rsid w:val="00EA0D04"/>
    <w:rsid w:val="00EA32E5"/>
    <w:rsid w:val="00EA3A87"/>
    <w:rsid w:val="00EB0BAB"/>
    <w:rsid w:val="00EB6651"/>
    <w:rsid w:val="00EC0635"/>
    <w:rsid w:val="00ED12A7"/>
    <w:rsid w:val="00ED297A"/>
    <w:rsid w:val="00ED2AF3"/>
    <w:rsid w:val="00ED4CB6"/>
    <w:rsid w:val="00EE0B36"/>
    <w:rsid w:val="00EE49B4"/>
    <w:rsid w:val="00EF1503"/>
    <w:rsid w:val="00EF233E"/>
    <w:rsid w:val="00EF2D33"/>
    <w:rsid w:val="00EF500C"/>
    <w:rsid w:val="00EF79ED"/>
    <w:rsid w:val="00F07E9D"/>
    <w:rsid w:val="00F17263"/>
    <w:rsid w:val="00F21862"/>
    <w:rsid w:val="00F22622"/>
    <w:rsid w:val="00F22DC6"/>
    <w:rsid w:val="00F2408E"/>
    <w:rsid w:val="00F26BA2"/>
    <w:rsid w:val="00F273D2"/>
    <w:rsid w:val="00F30237"/>
    <w:rsid w:val="00F31857"/>
    <w:rsid w:val="00F32815"/>
    <w:rsid w:val="00F32928"/>
    <w:rsid w:val="00F3713C"/>
    <w:rsid w:val="00F4297B"/>
    <w:rsid w:val="00F44838"/>
    <w:rsid w:val="00F507BF"/>
    <w:rsid w:val="00F51E0B"/>
    <w:rsid w:val="00F61695"/>
    <w:rsid w:val="00F64CA1"/>
    <w:rsid w:val="00F67352"/>
    <w:rsid w:val="00F828B4"/>
    <w:rsid w:val="00F82AAC"/>
    <w:rsid w:val="00F8647F"/>
    <w:rsid w:val="00F9073E"/>
    <w:rsid w:val="00F97BC7"/>
    <w:rsid w:val="00FA0992"/>
    <w:rsid w:val="00FA161C"/>
    <w:rsid w:val="00FB036C"/>
    <w:rsid w:val="00FB3007"/>
    <w:rsid w:val="00FB3142"/>
    <w:rsid w:val="00FB4945"/>
    <w:rsid w:val="00FB498D"/>
    <w:rsid w:val="00FD0BAF"/>
    <w:rsid w:val="00FE02CF"/>
    <w:rsid w:val="00FE2058"/>
    <w:rsid w:val="00FE7FD5"/>
    <w:rsid w:val="00FF4987"/>
    <w:rsid w:val="00FF5A73"/>
    <w:rsid w:val="00FF6386"/>
    <w:rsid w:val="00FF66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9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customStyle="1" w:styleId="Default">
    <w:name w:val="Default"/>
    <w:rsid w:val="005C52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customStyle="1" w:styleId="Default">
    <w:name w:val="Default"/>
    <w:rsid w:val="005C52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4620">
      <w:bodyDiv w:val="1"/>
      <w:marLeft w:val="0"/>
      <w:marRight w:val="0"/>
      <w:marTop w:val="0"/>
      <w:marBottom w:val="0"/>
      <w:divBdr>
        <w:top w:val="none" w:sz="0" w:space="0" w:color="auto"/>
        <w:left w:val="none" w:sz="0" w:space="0" w:color="auto"/>
        <w:bottom w:val="none" w:sz="0" w:space="0" w:color="auto"/>
        <w:right w:val="none" w:sz="0" w:space="0" w:color="auto"/>
      </w:divBdr>
    </w:div>
    <w:div w:id="1552495976">
      <w:bodyDiv w:val="1"/>
      <w:marLeft w:val="0"/>
      <w:marRight w:val="0"/>
      <w:marTop w:val="0"/>
      <w:marBottom w:val="0"/>
      <w:divBdr>
        <w:top w:val="none" w:sz="0" w:space="0" w:color="auto"/>
        <w:left w:val="none" w:sz="0" w:space="0" w:color="auto"/>
        <w:bottom w:val="none" w:sz="0" w:space="0" w:color="auto"/>
        <w:right w:val="none" w:sz="0" w:space="0" w:color="auto"/>
      </w:divBdr>
    </w:div>
    <w:div w:id="15830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7D5D-72FB-4090-A66B-356B379A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2019-11-26T14:33:00Z</cp:lastPrinted>
  <dcterms:created xsi:type="dcterms:W3CDTF">2019-12-04T13:36:00Z</dcterms:created>
  <dcterms:modified xsi:type="dcterms:W3CDTF">2019-12-04T13:36:00Z</dcterms:modified>
</cp:coreProperties>
</file>